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080"/>
        <w:rPr>
          <w:rFonts w:ascii="Verdana" w:hAnsi="Verdana"/>
          <w:highlight w:val="yellow"/>
        </w:rPr>
      </w:pPr>
      <w:bookmarkStart w:id="0" w:name="_GoBack"/>
      <w:bookmarkEnd w:id="0"/>
    </w:p>
    <w:p>
      <w:pPr>
        <w:ind w:left="7080"/>
        <w:rPr>
          <w:rFonts w:ascii="Verdana" w:hAnsi="Verdana"/>
          <w:highlight w:val="yellow"/>
        </w:rPr>
      </w:pPr>
    </w:p>
    <w:p>
      <w:pPr>
        <w:rPr>
          <w:rFonts w:ascii="Verdana" w:hAnsi="Verdana"/>
          <w:highlight w:val="yellow"/>
        </w:rPr>
      </w:pPr>
    </w:p>
    <w:p>
      <w:pPr>
        <w:jc w:val="right"/>
        <w:rPr>
          <w:rFonts w:ascii="Verdana" w:hAnsi="Verdana"/>
        </w:rPr>
      </w:pPr>
      <w:r>
        <w:rPr>
          <w:rFonts w:ascii="Verdana" w:hAnsi="Verdana"/>
        </w:rPr>
        <w:t>DATE : 12 novembre 2020</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PREMIER APPEL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A CANDIDATURES A UNE FONCTION DE DIRECTEUR (H/F/X)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DANS UN ETABLISSEMENT</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D’ENSEIGNEMENT SPECIALISE PRIMAIRE ET SECONDAIRE</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ADMISSION AU STAGE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du P.O.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Wallonie Bruxelles Enseignement (WBE)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Boulevard du Jardin Botanique 20-22, 1000 Bruxelles</w:t>
      </w:r>
    </w:p>
    <w:p>
      <w:pPr>
        <w:pBdr>
          <w:top w:val="single" w:sz="4" w:space="1" w:color="000000"/>
          <w:left w:val="single" w:sz="4" w:space="4" w:color="000000"/>
          <w:bottom w:val="single" w:sz="4" w:space="1" w:color="000000"/>
          <w:right w:val="single" w:sz="4" w:space="4" w:color="000000"/>
        </w:pBdr>
      </w:pPr>
      <w:r>
        <w:rPr>
          <w:rFonts w:ascii="Verdana" w:hAnsi="Verdana"/>
        </w:rPr>
        <w:t xml:space="preserve">Adresse électronique : </w:t>
      </w:r>
      <w:hyperlink r:id="rId9">
        <w:r>
          <w:rPr>
            <w:rStyle w:val="LienInternet"/>
            <w:rFonts w:ascii="Verdana" w:hAnsi="Verdana"/>
          </w:rPr>
          <w:t>selection.promotion(at)w-b-e.be</w:t>
        </w:r>
      </w:hyperlink>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 https://www.w-b-e.be/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de l'école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Etablissement d’Enseignement Spécialisé Primaire Et Secondaire de la Communauté Française (EESPSCF) de Saint-Mard</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w:t>
      </w:r>
      <w:r>
        <w:t xml:space="preserve"> </w:t>
      </w:r>
      <w:r>
        <w:rPr>
          <w:rFonts w:ascii="Verdana" w:hAnsi="Verdana"/>
        </w:rPr>
        <w:t>Chemin Morel 71  -  6762 Saint-Mard (Virton)</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w:t>
      </w:r>
      <w:r>
        <w:t xml:space="preserve"> </w:t>
      </w:r>
      <w:hyperlink r:id="rId10" w:history="1">
        <w:r>
          <w:rPr>
            <w:rStyle w:val="Lienhypertexte"/>
            <w:rFonts w:ascii="Verdana" w:hAnsi="Verdana"/>
          </w:rPr>
          <w:t>www.eespscfsaintmard.be</w:t>
        </w:r>
      </w:hyperlink>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rPr>
        <w:t>Date présumée d’entrée en fonction</w:t>
      </w:r>
      <w:r>
        <w:rPr>
          <w:rFonts w:ascii="Verdana" w:hAnsi="Verdana"/>
        </w:rPr>
        <w:t> : 1</w:t>
      </w:r>
      <w:r>
        <w:rPr>
          <w:rFonts w:ascii="Verdana" w:hAnsi="Verdana"/>
          <w:vertAlign w:val="superscript"/>
        </w:rPr>
        <w:t>er</w:t>
      </w:r>
      <w:r>
        <w:rPr>
          <w:rFonts w:ascii="Verdana" w:hAnsi="Verdana"/>
        </w:rPr>
        <w:t xml:space="preserve"> février 2021</w:t>
      </w: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xml:space="preserve">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Caractéristiques structurelles :</w:t>
      </w:r>
      <w:r>
        <w:rPr>
          <w:rFonts w:ascii="Verdana" w:hAnsi="Verdana"/>
          <w:u w:val="single"/>
        </w:rPr>
        <w:tab/>
        <w:t xml:space="preserve"> </w:t>
      </w:r>
      <w:r>
        <w:rPr>
          <w:rFonts w:ascii="Verdana" w:hAnsi="Verdana"/>
          <w:u w:val="single"/>
        </w:rPr>
        <w:br/>
      </w:r>
      <w:r>
        <w:rPr>
          <w:rFonts w:ascii="Verdana" w:hAnsi="Verdana"/>
        </w:rPr>
        <w:t>L’EESPSCF Saint-Mard est un établissement proposant une offre d’enseignement très large allant du fondamental au secondaire avec de nombreuses options professionnelles. Elle comprend 3 implantations :</w:t>
      </w:r>
      <w:r>
        <w:rPr>
          <w:rFonts w:ascii="Verdana" w:hAnsi="Verdana"/>
        </w:rPr>
        <w:tab/>
        <w:t xml:space="preserve"> </w:t>
      </w:r>
      <w:r>
        <w:rPr>
          <w:rFonts w:ascii="Verdana" w:hAnsi="Verdana"/>
        </w:rPr>
        <w:br/>
        <w:t>- Enseignement secondaire à Saint-Mard pour les élèves relevant des types 1-2-3-4-8.</w:t>
      </w:r>
      <w:r>
        <w:rPr>
          <w:rFonts w:ascii="Verdana" w:hAnsi="Verdana"/>
        </w:rPr>
        <w:br/>
        <w:t>- Enseignement secondaire à Stockem pour les élèves  de forme 1 relevant des types 2-3-4 pour une pédagogie adaptée aux élèves porteurs d’autisme.</w:t>
      </w:r>
      <w:r>
        <w:rPr>
          <w:rFonts w:ascii="Verdana" w:hAnsi="Verdana"/>
        </w:rPr>
        <w:tab/>
      </w:r>
      <w:r>
        <w:rPr>
          <w:rFonts w:ascii="Verdana" w:hAnsi="Verdana"/>
        </w:rPr>
        <w:br/>
        <w:t>- Enseignement fondamental à Musson pour les élèves relevant des types 1-2-3-4.</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Un home d’accueil permanent est présent sur le site ; ses internes forment une partie importante des élèves inscrits à l’établissement scolaire.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Une restructuration de l’offre d’enseignement des implantations a eu lieu avant le début de l’année scolaire 2019-2020 : </w:t>
      </w:r>
      <w:r>
        <w:rPr>
          <w:rFonts w:ascii="Verdana" w:hAnsi="Verdana"/>
        </w:rPr>
        <w:tab/>
      </w:r>
      <w:r>
        <w:rPr>
          <w:rFonts w:ascii="Verdana" w:hAnsi="Verdana"/>
        </w:rPr>
        <w:br/>
        <w:t>- Tous les élèves de l’enseignement fondamental sont désormais scolarisés à Musson.</w:t>
      </w:r>
      <w:r>
        <w:rPr>
          <w:rFonts w:ascii="Verdana" w:hAnsi="Verdana"/>
        </w:rPr>
        <w:br/>
        <w:t>- Les élèves de l’enseignement secondaire (forme 1 – pédagogie adaptée) sont scolarisés à Stockem. Cette restructuration a eu des effets positifs sur l’établissement. Le bémol se situe au niveau des distances (14km) entre Saint-Mard et Stockem.</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Infrastructures du bâtiment :</w:t>
      </w:r>
      <w:r>
        <w:rPr>
          <w:rFonts w:ascii="Verdana" w:hAnsi="Verdana"/>
        </w:rPr>
        <w:tab/>
        <w:t xml:space="preserve"> </w:t>
      </w:r>
      <w:r>
        <w:rPr>
          <w:rFonts w:ascii="Verdana" w:hAnsi="Verdana"/>
        </w:rPr>
        <w:br/>
        <w:t xml:space="preserve">Le site de Saint-Mard devient trop petit, le manque de place se fait sentir. Un nouveau bâtiment est en projet.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Caractéristiques de la population scolaire :</w:t>
      </w:r>
      <w:r>
        <w:rPr>
          <w:rFonts w:ascii="Verdana" w:hAnsi="Verdana"/>
        </w:rPr>
        <w:tab/>
        <w:t xml:space="preserve"> </w:t>
      </w:r>
      <w:r>
        <w:rPr>
          <w:rFonts w:ascii="Verdana" w:hAnsi="Verdana"/>
        </w:rPr>
        <w:br/>
        <w:t xml:space="preserve">Le public scolaire est défavorisé pour 80% des élèves. Après une augmentation sensible, la population scolaire s’est stabilisée depuis l’année scolaire 2015-2016. L’établissement compte actuellement plus de 400 élèves dont une part importante est d’origine française.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 xml:space="preserve">Caractéristiques pédagogiques : </w:t>
      </w:r>
      <w:r>
        <w:rPr>
          <w:rFonts w:ascii="Verdana" w:hAnsi="Verdana"/>
        </w:rPr>
        <w:tab/>
      </w:r>
      <w:r>
        <w:rPr>
          <w:rFonts w:ascii="Verdana" w:hAnsi="Verdana"/>
        </w:rPr>
        <w:br/>
        <w:t xml:space="preserve">Le projet d’école a été réactualisé en 2019 ; l’établissement fait partie de la vague 1 des plans de pilotage. </w:t>
      </w:r>
    </w:p>
    <w:p>
      <w:pPr>
        <w:pBdr>
          <w:top w:val="single" w:sz="4" w:space="1" w:color="000000"/>
          <w:left w:val="single" w:sz="4" w:space="4" w:color="000000"/>
          <w:bottom w:val="single" w:sz="4" w:space="1" w:color="000000"/>
          <w:right w:val="single" w:sz="4" w:space="4" w:color="000000"/>
        </w:pBdr>
        <w:jc w:val="both"/>
        <w:rPr>
          <w:rFonts w:ascii="Verdana" w:hAnsi="Verdana"/>
          <w:i/>
        </w:rPr>
      </w:pPr>
      <w:r>
        <w:rPr>
          <w:rFonts w:ascii="Verdana" w:hAnsi="Verdana"/>
          <w:u w:val="single"/>
        </w:rPr>
        <w:t>Attractivité de l’école</w:t>
      </w:r>
      <w:r>
        <w:rPr>
          <w:rFonts w:ascii="Verdana" w:hAnsi="Verdana"/>
          <w:i/>
          <w:u w:val="single"/>
        </w:rPr>
        <w:t>.</w:t>
      </w:r>
      <w:r>
        <w:rPr>
          <w:rFonts w:ascii="Verdana" w:hAnsi="Verdana"/>
          <w:i/>
        </w:rPr>
        <w:tab/>
      </w:r>
      <w:r>
        <w:rPr>
          <w:rFonts w:ascii="Verdana" w:hAnsi="Verdana"/>
          <w:i/>
        </w:rPr>
        <w:br/>
      </w:r>
      <w:r>
        <w:rPr>
          <w:rFonts w:ascii="Verdana" w:hAnsi="Verdana"/>
        </w:rPr>
        <w:t>L’EESPSCF Saint-Mard est un établissement d’enseignement spécialisé disposant d’un cadre extérieur agréable. Les finances de l’établissement sont saines, ce qui permet de bien équiper les différentes options (ateliers, outils informatiques).</w:t>
      </w:r>
    </w:p>
    <w:p>
      <w:pPr>
        <w:rPr>
          <w:rFonts w:ascii="Verdana" w:hAnsi="Verdana"/>
        </w:rPr>
      </w:pP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cs="Arial"/>
          <w:b/>
          <w:bCs/>
          <w:color w:val="000000" w:themeColor="text1"/>
          <w:u w:val="double"/>
        </w:rPr>
      </w:pPr>
      <w:r>
        <w:rPr>
          <w:rFonts w:ascii="Verdana" w:hAnsi="Verdana" w:cs="Arial"/>
          <w:b/>
          <w:bCs/>
          <w:color w:val="000000" w:themeColor="text1"/>
          <w:u w:val="double"/>
        </w:rPr>
        <w:t>Nature de l’emploi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noProof/>
          <w:lang w:eastAsia="fr-BE"/>
        </w:rPr>
        <mc:AlternateContent>
          <mc:Choice Requires="wps">
            <w:drawing>
              <wp:anchor distT="0" distB="0" distL="114300" distR="114300" simplePos="0" relativeHeight="251660288" behindDoc="0" locked="0" layoutInCell="1" allowOverlap="1">
                <wp:simplePos x="0" y="0"/>
                <wp:positionH relativeFrom="column">
                  <wp:posOffset>33655</wp:posOffset>
                </wp:positionH>
                <wp:positionV relativeFrom="paragraph">
                  <wp:posOffset>60960</wp:posOffset>
                </wp:positionV>
                <wp:extent cx="47625" cy="57150"/>
                <wp:effectExtent l="0" t="0" r="28575" b="19050"/>
                <wp:wrapNone/>
                <wp:docPr id="7" name="Connecteur droit 7"/>
                <wp:cNvGraphicFramePr/>
                <a:graphic xmlns:a="http://schemas.openxmlformats.org/drawingml/2006/main">
                  <a:graphicData uri="http://schemas.microsoft.com/office/word/2010/wordprocessingShape">
                    <wps:wsp>
                      <wps:cNvCnPr/>
                      <wps:spPr>
                        <a:xfrm flipH="1" flipV="1">
                          <a:off x="0" y="0"/>
                          <a:ext cx="47625" cy="57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AE83FB" id="Connecteur droit 7" o:spid="_x0000_s1026" style="position:absolute;flip:x y;z-index:251660288;visibility:visible;mso-wrap-style:square;mso-wrap-distance-left:9pt;mso-wrap-distance-top:0;mso-wrap-distance-right:9pt;mso-wrap-distance-bottom:0;mso-position-horizontal:absolute;mso-position-horizontal-relative:text;mso-position-vertical:absolute;mso-position-vertical-relative:text" from="2.65pt,4.8pt" to="6.4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" strokecolor="black [3200]" strokeweight=".5pt">
                <v:stroke joinstyle="miter"/>
              </v:line>
            </w:pict>
          </mc:Fallback>
        </mc:AlternateContent>
      </w:r>
      <w:r>
        <w:rPr>
          <w:rFonts w:ascii="Verdana" w:hAnsi="Verdana"/>
          <w:noProof/>
          <w:lang w:eastAsia="fr-BE"/>
        </w:rPr>
        <mc:AlternateContent>
          <mc:Choice Requires="wps">
            <w:drawing>
              <wp:anchor distT="0" distB="0" distL="114300" distR="114300" simplePos="0" relativeHeight="251659264" behindDoc="0" locked="0" layoutInCell="1" allowOverlap="1">
                <wp:simplePos x="0" y="0"/>
                <wp:positionH relativeFrom="column">
                  <wp:posOffset>24130</wp:posOffset>
                </wp:positionH>
                <wp:positionV relativeFrom="paragraph">
                  <wp:posOffset>41910</wp:posOffset>
                </wp:positionV>
                <wp:extent cx="47625" cy="66675"/>
                <wp:effectExtent l="0" t="0" r="28575" b="28575"/>
                <wp:wrapNone/>
                <wp:docPr id="6" name="Connecteur droit 6"/>
                <wp:cNvGraphicFramePr/>
                <a:graphic xmlns:a="http://schemas.openxmlformats.org/drawingml/2006/main">
                  <a:graphicData uri="http://schemas.microsoft.com/office/word/2010/wordprocessingShape">
                    <wps:wsp>
                      <wps:cNvCnPr/>
                      <wps:spPr>
                        <a:xfrm flipV="1">
                          <a:off x="0" y="0"/>
                          <a:ext cx="47625" cy="66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C6F579" id="Connecteur droit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9pt,3.3pt" to="5.6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" strokecolor="black [3200]" strokeweight=".5pt">
                <v:stroke joinstyle="miter"/>
              </v:line>
            </w:pict>
          </mc:Fallback>
        </mc:AlternateContent>
      </w:r>
      <w:r>
        <w:rPr>
          <w:rFonts w:ascii="Verdana" w:hAnsi="Verdana"/>
        </w:rPr>
        <w:t>O emploi définitivement vacant.</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w:t>
      </w:r>
    </w:p>
    <w:p>
      <w:pPr>
        <w:pBdr>
          <w:top w:val="single" w:sz="4" w:space="0" w:color="000000"/>
          <w:left w:val="single" w:sz="4" w:space="4" w:color="000000"/>
          <w:bottom w:val="single" w:sz="4" w:space="0" w:color="000000"/>
          <w:right w:val="single" w:sz="4" w:space="4" w:color="000000"/>
        </w:pBdr>
        <w:spacing w:after="0"/>
        <w:rPr>
          <w:rFonts w:ascii="Verdana" w:hAnsi="Verdana"/>
        </w:rPr>
      </w:pPr>
      <w:r>
        <w:rPr>
          <w:rFonts w:ascii="Verdana" w:hAnsi="Verdana"/>
        </w:rPr>
        <w:t>Richard REGGERS, Préfet de Zone, mail : richard.reggers(at)cfwb.be</w:t>
      </w:r>
    </w:p>
    <w:p>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b/>
          <w:color w:val="000000" w:themeColor="text1"/>
          <w:u w:val="single"/>
        </w:rPr>
        <w:t xml:space="preserve">Destinataires de l’appel : </w:t>
      </w:r>
    </w:p>
    <w:p>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color w:val="000000" w:themeColor="text1"/>
        </w:rPr>
        <w:t>Les membres du personnel exerçant leurs fonctions au sein de WBE.</w:t>
      </w: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Les dossiers de candidature doivent être envoyés, au plus tard le 02 décembre 2020 inclus. </w:t>
      </w:r>
    </w:p>
    <w:p>
      <w:pPr>
        <w:pBdr>
          <w:top w:val="single" w:sz="4" w:space="1" w:color="000000"/>
          <w:left w:val="single" w:sz="4" w:space="4" w:color="000000"/>
          <w:bottom w:val="single" w:sz="4" w:space="1" w:color="000000"/>
          <w:right w:val="single" w:sz="4" w:space="4" w:color="000000"/>
        </w:pBdr>
      </w:pPr>
      <w:r>
        <w:rPr>
          <w:rFonts w:ascii="Verdana" w:hAnsi="Verdana"/>
        </w:rPr>
        <w:t xml:space="preserve">- De préférence, par envoi électronique avec une demande d’accusé de réception et d’accusé de lecture : </w:t>
      </w:r>
      <w:r>
        <w:rPr>
          <w:rFonts w:ascii="Verdana" w:hAnsi="Verdana"/>
        </w:rPr>
        <w:br/>
        <w:t xml:space="preserve">Destinataire : </w:t>
      </w:r>
      <w:hyperlink r:id="rId11">
        <w:r>
          <w:rPr>
            <w:rStyle w:val="LienInternet"/>
            <w:rFonts w:ascii="Verdana" w:hAnsi="Verdana"/>
          </w:rPr>
          <w:t>selection.promotion(at)w-b-e.be</w:t>
        </w:r>
      </w:hyperlink>
      <w:r>
        <w:rPr>
          <w:rFonts w:ascii="Verdana" w:hAnsi="Verdana"/>
        </w:rPr>
        <w:br/>
        <w:t>Objet : WBE CE 2020 012</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Ou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Par recommandé ou déposés contre avis de réception à :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Direction des ressources humaines : Service sélection et promotion de l’enseignement. </w:t>
      </w:r>
      <w:r>
        <w:rPr>
          <w:rFonts w:ascii="Verdana" w:hAnsi="Verdana"/>
          <w:highlight w:val="yellow"/>
        </w:rPr>
        <w:br/>
      </w:r>
      <w:r>
        <w:rPr>
          <w:rFonts w:ascii="Verdana" w:hAnsi="Verdana"/>
        </w:rPr>
        <w:t>Wallonie Bruxelles Enseignement</w:t>
      </w:r>
      <w:r>
        <w:rPr>
          <w:rFonts w:ascii="Verdana" w:hAnsi="Verdana"/>
        </w:rPr>
        <w:br/>
        <w:t xml:space="preserve">Boulevard du Jardin botanique 20-22 à 1000 Bruxelles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 (jour, mois, année)</w:t>
      </w:r>
      <w:r>
        <w:rPr>
          <w:rFonts w:ascii="Verdana" w:hAnsi="Verdana"/>
        </w:rPr>
        <w:br/>
        <w:t>- Un formulaire de candidature de la fonction (voir annexe 3) à pourvoir complété</w:t>
      </w:r>
      <w:r>
        <w:rPr>
          <w:rFonts w:ascii="Verdana" w:hAnsi="Verdana"/>
        </w:rPr>
        <w:br/>
        <w:t>- Une copie du (ou des) diplôme(s) requis</w:t>
      </w:r>
      <w:r>
        <w:rPr>
          <w:rFonts w:ascii="Verdana" w:hAnsi="Verdana"/>
        </w:rPr>
        <w:br/>
        <w:t>- Un extrait de casier judiciaire 596.2 vierge antérieur de 3 mois maximum à partir de la date de fin de publication de l’appel à candidature.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 cas échéant, une copie des attestations de réussite obtenues dans le cadre de la formation initiale des directeurs (H/F/X) sera jointe au dossier de candidature. Celles-ci pourront être considérées comme un atout.</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pPr>
        <w:pBdr>
          <w:top w:val="single" w:sz="4" w:space="1" w:color="000000"/>
          <w:left w:val="single" w:sz="4" w:space="4" w:color="000000"/>
          <w:bottom w:val="single" w:sz="4" w:space="1" w:color="000000"/>
          <w:right w:val="single" w:sz="4" w:space="4" w:color="000000"/>
        </w:pBdr>
        <w:jc w:val="both"/>
        <w:rPr>
          <w:rFonts w:ascii="Verdana" w:hAnsi="Verdana"/>
        </w:rPr>
      </w:pPr>
    </w:p>
    <w:p>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Annexe 1 : Conditions d’accès à la fonction</w:t>
      </w:r>
      <w:r>
        <w:rPr>
          <w:rFonts w:ascii="Verdana" w:hAnsi="Verdana"/>
        </w:rPr>
        <w:tab/>
        <w:t>.</w:t>
      </w:r>
      <w:r>
        <w:rPr>
          <w:rFonts w:ascii="Verdana" w:hAnsi="Verdana"/>
        </w:rPr>
        <w:br/>
        <w:t xml:space="preserve">- Annexe 2 : Profil de fonction établi par le Pouvoir organisateur. </w:t>
      </w:r>
      <w:r>
        <w:rPr>
          <w:rFonts w:ascii="Verdana" w:hAnsi="Verdana"/>
        </w:rPr>
        <w:tab/>
      </w:r>
      <w:r>
        <w:rPr>
          <w:rFonts w:ascii="Verdana" w:hAnsi="Verdana"/>
        </w:rPr>
        <w:br/>
        <w:t xml:space="preserve">- Annexe 3 : Formulaire de candidatures (disponible en version électronique sur notre site internet : </w:t>
      </w:r>
      <w:hyperlink r:id="rId12" w:history="1">
        <w:r>
          <w:rPr>
            <w:rStyle w:val="Lienhypertexte"/>
            <w:rFonts w:ascii="Verdana" w:hAnsi="Verdana"/>
          </w:rPr>
          <w:t>https://www.w-b-e.be/jobs-carriere/evolution-de-carriere/emplois-vacants/</w:t>
        </w:r>
      </w:hyperlink>
      <w:r>
        <w:rPr>
          <w:rFonts w:ascii="Verdana" w:hAnsi="Verdana"/>
        </w:rPr>
        <w:t xml:space="preserve">  et à joindre dans votre candidature)</w:t>
      </w: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pPr>
    </w:p>
    <w:p>
      <w:pPr>
        <w:spacing w:after="160" w:line="259" w:lineRule="auto"/>
        <w:rPr>
          <w:rFonts w:ascii="Verdana" w:hAnsi="Verdana"/>
          <w:b/>
        </w:rPr>
        <w:sectPr>
          <w:footerReference w:type="default" r:id="rId13"/>
          <w:headerReference w:type="first" r:id="rId14"/>
          <w:footerReference w:type="first" r:id="rId15"/>
          <w:pgSz w:w="11906" w:h="16838"/>
          <w:pgMar w:top="1417" w:right="1417" w:bottom="1417" w:left="1417" w:header="567" w:footer="227" w:gutter="0"/>
          <w:cols w:space="720"/>
          <w:formProt w:val="0"/>
          <w:titlePg/>
          <w:docGrid w:linePitch="326" w:charSpace="4096"/>
        </w:sectPr>
      </w:pPr>
    </w:p>
    <w:p>
      <w:pPr>
        <w:spacing w:after="160" w:line="259" w:lineRule="auto"/>
        <w:rPr>
          <w:rFonts w:ascii="Verdana" w:hAnsi="Verdana"/>
          <w:b/>
        </w:rPr>
      </w:pPr>
      <w:r>
        <w:rPr>
          <w:rFonts w:ascii="Verdana" w:hAnsi="Verdana"/>
          <w:b/>
        </w:rPr>
        <w:t xml:space="preserve">Annexe 1. Conditions d’accès à la fonction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3° compter une ancienneté de service de trois ans au sein de l’enseignement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organisé ou subventionné par la Communauté française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cs="Arial"/>
          <w:b/>
          <w:color w:val="000000" w:themeColor="text1"/>
        </w:rPr>
      </w:pPr>
      <w:r>
        <w:rPr>
          <w:rFonts w:ascii="Verdana" w:hAnsi="Verdana" w:cs="Arial"/>
          <w:b/>
          <w:color w:val="000000" w:themeColor="text1"/>
        </w:rPr>
        <w:t>Les candidats reconnus comme éligibles à une fonction de directeur (H/F/X)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pPr>
        <w:pBdr>
          <w:top w:val="single" w:sz="4" w:space="1" w:color="000000"/>
          <w:left w:val="single" w:sz="4" w:space="4" w:color="000000"/>
          <w:bottom w:val="single" w:sz="4" w:space="0" w:color="000000"/>
          <w:right w:val="single" w:sz="4" w:space="4" w:color="000000"/>
        </w:pBdr>
        <w:spacing w:after="0" w:line="240" w:lineRule="auto"/>
        <w:ind w:firstLine="708"/>
        <w:jc w:val="both"/>
      </w:pPr>
      <w:r>
        <w:rPr>
          <w:rFonts w:ascii="Verdana" w:eastAsia="Times New Roman" w:hAnsi="Verdana" w:cs="Arial"/>
          <w:color w:val="000000" w:themeColor="text1"/>
          <w:lang w:eastAsia="fr-FR"/>
        </w:rPr>
        <w:t>5° avoir répondu à l’appel à candidatures.</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cs="Arial"/>
          <w:color w:val="000000" w:themeColor="text1"/>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formulaire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1 « Responsabilité », en tenant compte des connaissances de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WBE : son organisation, son projet éducatif et pédagogique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t>
      </w:r>
      <w:r>
        <w:rPr>
          <w:rFonts w:ascii="Verdana" w:hAnsi="Verdana"/>
        </w:rPr>
        <w:t>EESPSCF Saint-Mard</w:t>
      </w:r>
      <w:r>
        <w:rPr>
          <w:rFonts w:ascii="Verdana" w:eastAsia="Times New Roman" w:hAnsi="Verdana" w:cs="Arial"/>
          <w:color w:val="000000" w:themeColor="text1"/>
          <w:lang w:eastAsia="fr-FR"/>
        </w:rPr>
        <w:t xml:space="preserve">: les projets pédagogiques déjà mis en place, les caractéristiques de l’établissement, l’ancrage environnemental. </w:t>
      </w:r>
    </w:p>
    <w:p>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3 « Motivation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t>
      </w:r>
      <w:r>
        <w:rPr>
          <w:rFonts w:ascii="Verdana" w:eastAsia="Times New Roman" w:hAnsi="Verdana" w:cs="Arial"/>
          <w:b/>
          <w:color w:val="000000" w:themeColor="text1"/>
          <w:lang w:eastAsia="fr-FR"/>
        </w:rPr>
        <w:t>Disposer d’attestations de réussite obtenues dans le cadre de la formation initiale des directeurs (H/F/X).</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u w:val="single"/>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u w:val="single"/>
          <w:lang w:eastAsia="fr-FR"/>
        </w:rPr>
      </w:pPr>
      <w:r>
        <w:rPr>
          <w:rFonts w:ascii="Verdana" w:eastAsia="Times New Roman" w:hAnsi="Verdana" w:cs="Arial"/>
          <w:b/>
          <w:color w:val="000000" w:themeColor="text1"/>
          <w:u w:val="single"/>
          <w:lang w:eastAsia="fr-FR"/>
        </w:rPr>
        <w:t>Le jury est prévu le 17 décembre 2020, une convocation sera envoyée aux candidats retenus après le 09 décembre 2020.</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hors Belgique, une attestation d'équivalence du diplôme de la Communauté française est requise (pour l'obtenir: 02/690.89.00  ou https://www.formulairesweb.cfwb.be/equi_ens_oblig/formulaire_equivalence.html) Service de l’équivalence des diplômes /Service de la reconnaissance académique et professionnelle des diplômes étrangers d’enseignement supérieur)</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Faites-en mention dans votre acte de candidature en mettant en nous donnant les informations qui nous permettront d’adapter les conditions de l’entretien.</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hyperlink r:id="rId16" w:history="1">
        <w:r>
          <w:rPr>
            <w:rStyle w:val="Lienhypertexte"/>
            <w:rFonts w:ascii="Verdana" w:eastAsia="Times New Roman" w:hAnsi="Verdana" w:cs="Arial"/>
            <w:lang w:eastAsia="fr-FR"/>
          </w:rPr>
          <w:t>selection.promotion(at)w-b-e.be</w:t>
        </w:r>
      </w:hyperlink>
    </w:p>
    <w:p>
      <w:pPr>
        <w:spacing w:after="160" w:line="259" w:lineRule="auto"/>
        <w:rPr>
          <w:rFonts w:ascii="Verdana" w:hAnsi="Verdana"/>
        </w:rPr>
      </w:pPr>
      <w:r>
        <w:br w:type="page"/>
      </w:r>
    </w:p>
    <w:p>
      <w:pPr>
        <w:spacing w:after="160" w:line="259" w:lineRule="auto"/>
        <w:rPr>
          <w:rFonts w:ascii="Verdana" w:hAnsi="Verdana"/>
        </w:rPr>
      </w:pPr>
    </w:p>
    <w:p>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7"/>
                    <a:stretch>
                      <a:fillRect/>
                    </a:stretch>
                  </pic:blipFill>
                  <pic:spPr bwMode="auto">
                    <a:xfrm>
                      <a:off x="0" y="0"/>
                      <a:ext cx="4919345" cy="1211580"/>
                    </a:xfrm>
                    <a:prstGeom prst="rect">
                      <a:avLst/>
                    </a:prstGeom>
                  </pic:spPr>
                </pic:pic>
              </a:graphicData>
            </a:graphic>
          </wp:anchor>
        </w:drawing>
      </w:r>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Content>
          <w:r>
            <w:rPr>
              <w:rFonts w:ascii="Calibri Light" w:eastAsia="Calibri" w:hAnsi="Calibri Light" w:cs="Times New Roman"/>
              <w:b/>
              <w:caps/>
              <w:color w:val="0A0F16"/>
              <w:sz w:val="68"/>
              <w:szCs w:val="68"/>
              <w:lang w:eastAsia="nl-BE"/>
            </w:rPr>
            <w:t>Directeur</w:t>
          </w:r>
        </w:sdtContent>
      </w:sdt>
      <w:r>
        <w:rPr>
          <w:rFonts w:ascii="Calibri Light" w:eastAsia="Calibri" w:hAnsi="Calibri Light" w:cs="Times New Roman"/>
          <w:b/>
          <w:caps/>
          <w:sz w:val="68"/>
          <w:szCs w:val="68"/>
          <w:lang w:eastAsia="nl-BE"/>
        </w:rPr>
        <w:t xml:space="preserve"> </w:t>
      </w:r>
      <w:r>
        <w:rPr>
          <w:rFonts w:ascii="Calibri Light" w:eastAsia="Calibri" w:hAnsi="Calibri Light" w:cs="Times New Roman"/>
          <w:b/>
          <w:caps/>
          <w:sz w:val="48"/>
          <w:szCs w:val="68"/>
          <w:lang w:eastAsia="nl-BE"/>
        </w:rPr>
        <w:t>(h/f/x)</w:t>
      </w:r>
    </w:p>
    <w:p>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Content>
        <w:p>
          <w:pPr>
            <w:spacing w:after="0" w:line="273" w:lineRule="auto"/>
            <w:ind w:left="426"/>
            <w:rPr>
              <w:rFonts w:ascii="Calibri Light" w:eastAsia="Calibri" w:hAnsi="Calibri Light" w:cs="Calibri Light"/>
              <w:b/>
              <w:sz w:val="48"/>
              <w:szCs w:val="44"/>
              <w:u w:val="single" w:color="C9282D"/>
            </w:rPr>
          </w:pPr>
          <w:r>
            <w:rPr>
              <w:rFonts w:ascii="Calibri Light" w:eastAsia="Calibri" w:hAnsi="Calibri Light" w:cs="Calibri Light"/>
              <w:b/>
              <w:color w:val="000000" w:themeColor="text1"/>
              <w:sz w:val="48"/>
              <w:szCs w:val="44"/>
              <w:u w:val="single" w:color="C9282D"/>
            </w:rPr>
            <w:t>Ecole Secondaire</w:t>
          </w:r>
        </w:p>
      </w:sdtContent>
    </w:sdt>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sz w:val="36"/>
          <w:szCs w:val="24"/>
          <w:u w:val="single" w:color="F4AA00"/>
          <w:lang w:eastAsia="fr-FR"/>
        </w:r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F4AA00"/>
          <w:lang w:eastAsia="fr-FR"/>
        </w:rPr>
        <w:t>Etablissement : EESPSCF Saint-Mard.</w:t>
      </w:r>
    </w:p>
    <w:p>
      <w:pPr>
        <w:spacing w:after="0" w:line="240" w:lineRule="auto"/>
        <w:ind w:firstLine="426"/>
        <w:rPr>
          <w:rFonts w:ascii="Calibri Light" w:eastAsia="Times New Roman" w:hAnsi="Calibri Light" w:cs="Calibri Light"/>
          <w:b/>
          <w:sz w:val="36"/>
          <w:szCs w:val="24"/>
          <w:highlight w:val="cyan"/>
          <w:lang w:eastAsia="fr-FR"/>
        </w:rPr>
      </w:pPr>
    </w:p>
    <w:p>
      <w:pPr>
        <w:spacing w:after="0" w:line="240" w:lineRule="auto"/>
        <w:rPr>
          <w:rFonts w:ascii="Calibri" w:eastAsia="Times New Roman" w:hAnsi="Calibri" w:cs="Calibri"/>
          <w:color w:val="000000"/>
          <w:lang w:eastAsia="fr-BE"/>
        </w:r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001D77"/>
          <w:lang w:eastAsia="fr-FR"/>
        </w:rPr>
        <w:t>Référence : WBE CE 2020 012</w:t>
      </w:r>
      <w:bookmarkStart w:id="3" w:name="_Toc489775823"/>
      <w:bookmarkStart w:id="4" w:name="_Toc495298909"/>
      <w:bookmarkStart w:id="5" w:name="_Toc496000780"/>
      <w:bookmarkStart w:id="6" w:name="_Toc496507100"/>
      <w:bookmarkEnd w:id="3"/>
      <w:bookmarkEnd w:id="4"/>
      <w:bookmarkEnd w:id="5"/>
      <w:bookmarkEnd w:id="6"/>
    </w:p>
    <w:p>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headerReference w:type="first" r:id="rId18"/>
          <w:pgSz w:w="11906" w:h="16838"/>
          <w:pgMar w:top="1417" w:right="1417" w:bottom="1417" w:left="1417" w:header="567" w:footer="227" w:gutter="0"/>
          <w:cols w:space="720"/>
          <w:formProt w:val="0"/>
          <w:titlePg/>
          <w:docGrid w:linePitch="326" w:charSpace="4096"/>
        </w:sectPr>
      </w:pP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t xml:space="preserve">Le directeur (H/F/X) a une compétence générale de pilotage et d’organisation de l’établissement. </w:t>
      </w:r>
      <w:r>
        <w:rPr>
          <w:rFonts w:eastAsia="Times New Roman" w:cs="Times New Roman"/>
          <w:color w:val="000000"/>
          <w:lang w:eastAsia="fr-FR"/>
        </w:rPr>
        <w:br/>
        <w:t>Il/Elle assume les responsabilités que son pouvoir organisateur, WBE, lui confie dans 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685"/>
        <w:gridCol w:w="1249"/>
        <w:gridCol w:w="294"/>
        <w:gridCol w:w="662"/>
        <w:gridCol w:w="1033"/>
      </w:tblGrid>
      <w:tr>
        <w:trPr>
          <w:gridAfter w:val="5"/>
          <w:wAfter w:w="4923" w:type="dxa"/>
          <w:trHeight w:val="311"/>
        </w:trPr>
        <w:tc>
          <w:tcPr>
            <w:tcW w:w="3155" w:type="dxa"/>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trPr>
          <w:trHeight w:val="460"/>
        </w:trPr>
        <w:tc>
          <w:tcPr>
            <w:tcW w:w="3155" w:type="dxa"/>
            <w:vMerge w:val="restart"/>
            <w:tcBorders>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7" w:name="__Fieldmark__318_2749759877"/>
            <w:bookmarkEnd w:id="7"/>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eastAsia="Times New Roman" w:cs="Times New Roman"/>
                <w:color w:val="000000"/>
                <w:lang w:eastAsia="fr-FR"/>
              </w:rPr>
            </w:pPr>
            <w:r>
              <w:rPr>
                <w:rFonts w:eastAsia="Times New Roman" w:cs="Times New Roman"/>
                <w:color w:val="000000"/>
                <w:lang w:eastAsia="fr-FR"/>
              </w:rPr>
              <w:t>Diverses autorités françaises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0" w:name="__Fieldmark__340_2749759877"/>
            <w:bookmarkEnd w:id="10"/>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2" w:name="__Fieldmark__350_2749759877"/>
            <w:bookmarkEnd w:id="12"/>
            <w:r>
              <w:fldChar w:fldCharType="end"/>
            </w:r>
          </w:p>
        </w:tc>
      </w:tr>
      <w:tr>
        <w:trPr>
          <w:gridAfter w:val="5"/>
          <w:wAfter w:w="4923" w:type="dxa"/>
          <w:trHeight w:val="269"/>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2"/>
          <w:wAfter w:w="1695" w:type="dxa"/>
          <w:trHeight w:val="460"/>
        </w:trPr>
        <w:tc>
          <w:tcPr>
            <w:tcW w:w="3155" w:type="dxa"/>
            <w:vMerge/>
            <w:tcBorders>
              <w:top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685" w:type="dxa"/>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3" w:name="__Fieldmark__353_2749759877"/>
            <w:bookmarkEnd w:id="13"/>
            <w:r>
              <w:fldChar w:fldCharType="end"/>
            </w:r>
            <w:r>
              <w:rPr>
                <w:rFonts w:eastAsia="Times New Roman" w:cs="Times New Roman"/>
                <w:color w:val="000000"/>
                <w:lang w:eastAsia="fr-FR"/>
              </w:rPr>
              <w:t xml:space="preserve"> Bureau</w:t>
            </w:r>
          </w:p>
        </w:tc>
        <w:tc>
          <w:tcPr>
            <w:tcW w:w="1543" w:type="dxa"/>
            <w:gridSpan w:val="2"/>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trPr>
          <w:gridAfter w:val="5"/>
          <w:wAfter w:w="4923" w:type="dxa"/>
          <w:trHeight w:val="460"/>
        </w:trPr>
        <w:tc>
          <w:tcPr>
            <w:tcW w:w="3155" w:type="dxa"/>
            <w:shd w:val="clear" w:color="auto" w:fill="auto"/>
          </w:tcPr>
          <w:p/>
        </w:tc>
      </w:tr>
    </w:tbl>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pPr>
        <w:tabs>
          <w:tab w:val="left" w:pos="1985"/>
        </w:tabs>
        <w:spacing w:after="0" w:line="240" w:lineRule="auto"/>
        <w:jc w:val="both"/>
        <w:rPr>
          <w:rFonts w:ascii="Calibri" w:eastAsia="Times New Roman" w:hAnsi="Calibri" w:cs="Times New Roman"/>
          <w:b/>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Nous</w:t>
      </w:r>
      <w:r>
        <w:rPr>
          <w:rFonts w:eastAsia="Times New Roman" w:cs="Times New Roman"/>
          <w:color w:val="000000"/>
          <w:lang w:eastAsia="fr-FR"/>
        </w:rPr>
        <w:t xml:space="preserve"> rassemblons 365 établissements scolaires </w:t>
      </w:r>
      <w:r>
        <w:rPr>
          <w:rFonts w:eastAsia="Times New Roman" w:cs="Times New Roman"/>
          <w:b/>
          <w:bCs/>
          <w:color w:val="000000"/>
          <w:lang w:eastAsia="fr-FR"/>
        </w:rPr>
        <w:t>et 150 institutions apparentées (internats, centres PMS, etc.), </w:t>
      </w:r>
      <w:r>
        <w:rPr>
          <w:rFonts w:eastAsia="Times New Roman" w:cs="Times New Roman"/>
          <w:color w:val="000000"/>
          <w:lang w:eastAsia="fr-FR"/>
        </w:rPr>
        <w:t>répartis sur l’ensemble du territoire de la Fédération Wallonie-Bruxelles.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accueille </w:t>
      </w:r>
      <w:r>
        <w:rPr>
          <w:rFonts w:eastAsia="Times New Roman" w:cs="Times New Roman"/>
          <w:color w:val="000000"/>
          <w:lang w:eastAsia="fr-FR"/>
        </w:rPr>
        <w:t>plus de 211 000 élèves ou étudiants de la maternelle à l’enseignement supérieur et emploie plus de 30 000 personnes. WBE, c’est aussi 3.200.000 m² de bâtiments scolaires distribués sur 800 sites géographiques.</w:t>
      </w:r>
    </w:p>
    <w:p>
      <w:pPr>
        <w:spacing w:after="0" w:line="240" w:lineRule="auto"/>
        <w:jc w:val="both"/>
        <w:rPr>
          <w:rFonts w:ascii="Calibri" w:eastAsia="Times New Roman" w:hAnsi="Calibri" w:cs="Times New Roman"/>
          <w:color w:val="000000"/>
          <w:lang w:eastAsia="fr-FR"/>
        </w:rPr>
      </w:pPr>
    </w:p>
    <w:p>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eastAsia="Times New Roman" w:cs="Times New Roman"/>
          <w:color w:val="000000"/>
          <w:lang w:eastAsia="fr-FR"/>
        </w:rPr>
      </w:pPr>
      <w:r>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pPr>
        <w:spacing w:after="0" w:line="240" w:lineRule="auto"/>
        <w:rPr>
          <w:rFonts w:ascii="Times New Roman" w:eastAsia="Times New Roman" w:hAnsi="Times New Roman" w:cs="Times New Roman"/>
          <w:color w:val="000000"/>
          <w:sz w:val="24"/>
          <w:szCs w:val="24"/>
          <w:lang w:val="fr-FR" w:eastAsia="fr-FR"/>
        </w:rPr>
      </w:pPr>
    </w:p>
    <w:p>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des membres de son personnel, offre à chaque étudiant, à chaque élève et à sa famille, la possibilité de vivre et de partager des valeurs essentielles : </w:t>
      </w:r>
    </w:p>
    <w:p>
      <w:pPr>
        <w:spacing w:after="0" w:line="240" w:lineRule="auto"/>
        <w:jc w:val="both"/>
        <w:rPr>
          <w:rFonts w:ascii="Calibri" w:eastAsia="Times New Roman" w:hAnsi="Calibri" w:cs="Calibri"/>
          <w:color w:val="000000"/>
          <w:szCs w:val="24"/>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pPr>
        <w:spacing w:after="0" w:line="240" w:lineRule="auto"/>
        <w:jc w:val="both"/>
        <w:rPr>
          <w:rFonts w:ascii="Calibri" w:eastAsia="Times New Roman" w:hAnsi="Calibri" w:cs="Calibri"/>
          <w:color w:val="000000"/>
          <w:szCs w:val="27"/>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pPr>
        <w:shd w:val="clear" w:color="auto" w:fill="FFFFFF"/>
        <w:spacing w:after="0" w:line="240" w:lineRule="auto"/>
        <w:jc w:val="both"/>
        <w:rPr>
          <w:rFonts w:ascii="Calibri" w:eastAsia="Times New Roman" w:hAnsi="Calibri" w:cs="Calibri"/>
          <w:b/>
          <w:bCs/>
          <w:i/>
          <w:color w:val="000000"/>
          <w:szCs w:val="27"/>
          <w:lang w:eastAsia="fr-BE"/>
        </w:rPr>
      </w:pP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 (H/F/X)</w:t>
      </w:r>
      <w:r>
        <w:rPr>
          <w:rFonts w:eastAsia="Times New Roman" w:cs="Times New Roman"/>
          <w:lang w:eastAsia="fr-FR"/>
        </w:rPr>
        <w:t xml:space="preserve">, vous pouvez être amené(e) à : </w:t>
      </w:r>
      <w:r>
        <w:rPr>
          <w:rFonts w:eastAsia="Times New Roman" w:cs="Times New Roman"/>
          <w:lang w:eastAsia="fr-FR"/>
        </w:rPr>
        <w:tab/>
      </w:r>
      <w:r>
        <w:rPr>
          <w:rFonts w:eastAsia="Times New Roman" w:cs="Times New Roman"/>
          <w:lang w:eastAsia="fr-FR"/>
        </w:rPr>
        <w:br/>
      </w: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pPr>
        <w:shd w:val="clear" w:color="auto" w:fill="FFFFFF"/>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organisateur. Donner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Incarner les valeurs fondant l’action pédagogique et éducative prônée par WBE, les finalités et les objectifs visés dans l’école.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Responsabilités spécifiques à l’EESPSCF Saint-Mard :</w:t>
      </w:r>
    </w:p>
    <w:p>
      <w:pPr>
        <w:tabs>
          <w:tab w:val="left" w:pos="1985"/>
        </w:tabs>
        <w:spacing w:after="0" w:line="240" w:lineRule="auto"/>
        <w:ind w:left="-70"/>
        <w:jc w:val="both"/>
        <w:rPr>
          <w:rFonts w:eastAsia="Times New Roman" w:cs="Calibri"/>
          <w:lang w:eastAsia="fr-FR"/>
        </w:rPr>
      </w:pPr>
      <w:r>
        <w:rPr>
          <w:rFonts w:eastAsia="Times New Roman" w:cs="Calibri"/>
          <w:lang w:eastAsia="fr-FR"/>
        </w:rPr>
        <w:t>Etre ouvert aux nouvelles pratiques pédagogiques liées aux troubles des apprentissages et des comportements.</w:t>
      </w:r>
    </w:p>
    <w:p>
      <w:pPr>
        <w:tabs>
          <w:tab w:val="left" w:pos="1985"/>
        </w:tabs>
        <w:spacing w:after="0" w:line="240" w:lineRule="auto"/>
        <w:ind w:left="-70"/>
        <w:jc w:val="both"/>
        <w:rPr>
          <w:rFonts w:ascii="Calibri" w:eastAsia="Times New Roman" w:hAnsi="Calibri" w:cs="Calibri"/>
          <w:lang w:eastAsia="fr-FR"/>
        </w:rPr>
      </w:pP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en tant que leader pédagogique et éducatif, piloter la co-construction du projet d’établissement et du plan de pilotage de l’école, en menant à bien le processus de contractualisation y afférent ainsi que la mise en œuvre collective du contrat d’objectifs (ou le cas échéant, le protocole de collaboration).</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pPr>
      <w:r>
        <w:rPr>
          <w:rFonts w:eastAsia="Times New Roman" w:cs="Calibri"/>
          <w:bCs/>
          <w:lang w:eastAsia="fr-FR"/>
        </w:rPr>
        <w:t>Jouer un rôle d’interface entre le Pouvoir organisateur et l’ensemble des acteurs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les acteurs de l’école, à la co-construction de la culture d’école et/ou la développer en cohérence avec les valeurs du système éducatif et celles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tout processus décisionnel.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Faire de l’école une organisation apprenante et y encourager l’innovation, notamment didactique et pédagogique.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Le directeur (H/F/X) veille, le cas échéant, à la bonne organisation des organes locaux de concertation sociale légaux et conventionnels.</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Responsabilités spécifiques à l’EESPSCF Saint-Mard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Veiller à entretenir une étroite collaboration avec le home d’accueil permanent.</w:t>
      </w: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Veiller à accorder une attention particulière aux relations avec l’école fondamentale annexée située à Musson. </w:t>
      </w:r>
    </w:p>
    <w:p>
      <w:pPr>
        <w:tabs>
          <w:tab w:val="left" w:pos="1985"/>
        </w:tabs>
        <w:spacing w:after="0" w:line="240" w:lineRule="auto"/>
        <w:ind w:left="-70"/>
        <w:jc w:val="both"/>
      </w:pPr>
      <w:r>
        <w:rPr>
          <w:rFonts w:ascii="Calibri" w:eastAsia="Times New Roman" w:hAnsi="Calibri" w:cs="Calibri"/>
          <w:lang w:eastAsia="fr-BE"/>
        </w:rPr>
        <w:t xml:space="preserve">Veiller à entretenir les partenariats déjà existants avec le Parc naturel de Gaume, avec le Musée Gaumais. Veiller à entretenir des relations avec le monde de l’entreprise pour les stages. </w:t>
      </w:r>
      <w:r>
        <w:rPr>
          <w:rFonts w:ascii="Calibri" w:eastAsia="Times New Roman" w:hAnsi="Calibri" w:cs="Calibri"/>
          <w:lang w:eastAsia="fr-BE"/>
        </w:rPr>
        <w:tab/>
      </w:r>
      <w:r>
        <w:rPr>
          <w:rFonts w:ascii="Calibri" w:eastAsia="Times New Roman" w:hAnsi="Calibri" w:cs="Calibri"/>
          <w:lang w:eastAsia="fr-BE"/>
        </w:rPr>
        <w:br/>
      </w:r>
    </w:p>
    <w:tbl>
      <w:tblPr>
        <w:tblpPr w:leftFromText="141" w:rightFromText="141" w:vertAnchor="text" w:horzAnchor="margin" w:tblpY="-598"/>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Profil de compétence</w:t>
            </w:r>
          </w:p>
        </w:tc>
      </w:tr>
    </w:tbl>
    <w:p>
      <w:pPr>
        <w:tabs>
          <w:tab w:val="left" w:pos="1985"/>
        </w:tabs>
        <w:spacing w:after="0" w:line="240" w:lineRule="auto"/>
        <w:ind w:left="-70"/>
        <w:jc w:val="both"/>
      </w:pPr>
      <w:r>
        <w:t xml:space="preserve">Veiller à entretenir l’étroite collaboration avec les écoles de l’enseignement ordinaire pour les élèves en intégration. </w:t>
      </w:r>
    </w:p>
    <w:p>
      <w:pPr>
        <w:tabs>
          <w:tab w:val="left" w:pos="1985"/>
        </w:tabs>
        <w:spacing w:after="0" w:line="240" w:lineRule="auto"/>
        <w:ind w:left="-70"/>
        <w:jc w:val="both"/>
      </w:pPr>
      <w:r>
        <w:t>Veiller à entretenir la collaboration avec la Haute Ecole Robert Schuman.</w:t>
      </w:r>
    </w:p>
    <w:p>
      <w:pPr>
        <w:tabs>
          <w:tab w:val="left" w:pos="1985"/>
        </w:tabs>
        <w:spacing w:after="0" w:line="240" w:lineRule="auto"/>
        <w:ind w:left="-70"/>
        <w:jc w:val="both"/>
      </w:pPr>
    </w:p>
    <w:p>
      <w:pPr>
        <w:tabs>
          <w:tab w:val="left" w:pos="1985"/>
        </w:tabs>
        <w:spacing w:after="0" w:line="240" w:lineRule="auto"/>
        <w:ind w:left="-70"/>
        <w:jc w:val="both"/>
        <w:rPr>
          <w:rFonts w:ascii="Calibri" w:eastAsia="Times New Roman" w:hAnsi="Calibri" w:cs="Calibri"/>
          <w:lang w:eastAsia="fr-BE"/>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entre les méthodes pédagogiques de l’équipe éducative et les caractéristiques de la population scolaire et les spécificités de la matière/contenu.</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leadership pédagogique partagé, contrôler l'avancement, suivre régulièrement la progression des résultats des missions déléguées et si nécessaire ajuster de manière adéquate et cohérente en fonction des objectifs à atteindre.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pPr>
        <w:tabs>
          <w:tab w:val="left" w:pos="1985"/>
        </w:tabs>
        <w:spacing w:after="0" w:line="240" w:lineRule="auto"/>
        <w:ind w:left="-70"/>
        <w:jc w:val="both"/>
      </w:pPr>
      <w:r>
        <w:rPr>
          <w:rFonts w:eastAsia="Times New Roman" w:cs="Calibri"/>
          <w:bCs/>
          <w:lang w:eastAsia="fr-FR"/>
        </w:rPr>
        <w:t>Favoriser la collaboration de l’équipe éducative avec le Centre psycho-médico-social.</w:t>
      </w:r>
    </w:p>
    <w:p>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pPr>
        <w:tabs>
          <w:tab w:val="left" w:pos="1985"/>
        </w:tabs>
        <w:spacing w:after="0" w:line="240" w:lineRule="auto"/>
        <w:jc w:val="both"/>
        <w:rPr>
          <w:rFonts w:eastAsia="Times New Roman" w:cs="Calibri"/>
          <w:bCs/>
          <w:lang w:eastAsia="fr-FR"/>
        </w:rPr>
      </w:pPr>
    </w:p>
    <w:p>
      <w:pPr>
        <w:tabs>
          <w:tab w:val="left" w:pos="1985"/>
        </w:tabs>
        <w:spacing w:after="0" w:line="240" w:lineRule="auto"/>
        <w:ind w:left="-70"/>
        <w:jc w:val="both"/>
      </w:pPr>
    </w:p>
    <w:p>
      <w:pPr>
        <w:tabs>
          <w:tab w:val="left" w:pos="1985"/>
        </w:tabs>
        <w:spacing w:after="0" w:line="240" w:lineRule="auto"/>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 dynamique collective et soutenir le travail collaboratif dans une visée de partage de pratiques et d’organisation apprenante.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pouvoir organisateur pour construire une équipe éducative centrée sur l’élève, son développement et ses apprentissages.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Accompagner les équipes éducatives dans le changement et les innovations qu’elles mettent en œuvre.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à l’accueil et à l’intégration des nouveaux membres du personnel ainsi qu’à l’accompagnement des membres du personnel en difficulté.</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tbl>
      <w:tblPr>
        <w:tblpPr w:leftFromText="141" w:rightFromText="141" w:vertAnchor="text" w:horzAnchor="margin" w:tblpY="-1034"/>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professionnel, individuel et collectif des membres du personnel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p>
      <w:pPr>
        <w:tabs>
          <w:tab w:val="left" w:pos="1985"/>
        </w:tabs>
        <w:spacing w:after="0" w:line="240" w:lineRule="auto"/>
        <w:contextualSpacing/>
        <w:jc w:val="both"/>
      </w:pPr>
    </w:p>
    <w:p>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participer à l’identification de leurs besoins de formation et leur faciliter l’accès à la formation en cours de carrière dans le cadre du plan de formation de l’école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pPr>
        <w:tabs>
          <w:tab w:val="left" w:pos="1985"/>
        </w:tabs>
        <w:spacing w:after="0" w:line="240" w:lineRule="auto"/>
        <w:ind w:left="-70"/>
        <w:contextualSpacing/>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Veiller au respect du statut des membres du personnel et du règlement de travail.</w:t>
      </w:r>
    </w:p>
    <w:p>
      <w:pPr>
        <w:tabs>
          <w:tab w:val="left" w:pos="1985"/>
        </w:tabs>
        <w:spacing w:after="0" w:line="240" w:lineRule="auto"/>
        <w:jc w:val="both"/>
        <w:rPr>
          <w:rFonts w:eastAsia="Times New Roman" w:cs="Calibri"/>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analyser, intégrer et faire circuler l’information en la reformulant de manière adaptée et au moyen des dispositifs adéquats à l’attention, respectivement, du Pouvoir organisateur, des membres du personnel, des élèves, des parents et des agents du Centre psycho-médico-social et en tant qu’interface, avec les partenaires et interlocuteurs extérieurs.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 la limite des délégations qui ont été données.</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Construire des dispositifs de communication entre les acteurs de l’école  et avec les partenaires de l’école.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Responsabilités spécifiques à l’EESPSCF Saint-Mard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Veiller à promouvoir la communication entre les éducateurs de l’EESPSCF Saint-Mard et les éducateurs du home d’accueil permanent.</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Veiller à entretenir des bonnes relations avec les Amicales de Saint-Mard et de Musson.</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Veiller à entretenir des bonnes relations avec les autorités communales.</w:t>
      </w:r>
    </w:p>
    <w:p>
      <w:pPr>
        <w:tabs>
          <w:tab w:val="left" w:pos="1985"/>
        </w:tabs>
        <w:spacing w:after="0" w:line="240" w:lineRule="auto"/>
        <w:jc w:val="both"/>
        <w:rPr>
          <w:rFonts w:ascii="Calibri" w:eastAsia="Times New Roman" w:hAnsi="Calibri" w:cs="Calibri"/>
          <w:bCs/>
          <w:i/>
          <w:sz w:val="24"/>
          <w:highlight w:val="red"/>
          <w:lang w:eastAsia="fr-FR"/>
        </w:rPr>
      </w:pPr>
    </w:p>
    <w:p>
      <w:pPr>
        <w:tabs>
          <w:tab w:val="left" w:pos="1985"/>
        </w:tabs>
        <w:spacing w:after="0" w:line="240" w:lineRule="auto"/>
        <w:ind w:left="-70"/>
        <w:jc w:val="both"/>
        <w:rPr>
          <w:rFonts w:ascii="Calibri" w:eastAsia="Times New Roman" w:hAnsi="Calibri" w:cs="Calibri"/>
          <w:bCs/>
          <w:i/>
          <w:sz w:val="24"/>
          <w:highlight w:val="red"/>
          <w:lang w:eastAsia="fr-FR"/>
        </w:rPr>
      </w:pPr>
    </w:p>
    <w:p>
      <w:pPr>
        <w:tabs>
          <w:tab w:val="left" w:pos="1985"/>
        </w:tabs>
        <w:spacing w:after="0" w:line="240" w:lineRule="auto"/>
        <w:ind w:left="-70"/>
        <w:jc w:val="both"/>
        <w:rPr>
          <w:rFonts w:ascii="Calibri" w:eastAsia="Times New Roman" w:hAnsi="Calibri" w:cs="Calibri"/>
          <w:bCs/>
          <w:i/>
          <w:sz w:val="24"/>
          <w:highlight w:val="red"/>
          <w:lang w:eastAsia="fr-FR"/>
        </w:rPr>
      </w:pPr>
    </w:p>
    <w:p>
      <w:pPr>
        <w:tabs>
          <w:tab w:val="left" w:pos="1985"/>
        </w:tabs>
        <w:spacing w:after="0" w:line="240" w:lineRule="auto"/>
        <w:ind w:left="-70"/>
        <w:jc w:val="both"/>
        <w:rPr>
          <w:rFonts w:ascii="Calibri" w:eastAsia="Times New Roman" w:hAnsi="Calibri" w:cs="Calibri"/>
          <w:bCs/>
          <w:i/>
          <w:sz w:val="24"/>
          <w:highlight w:val="red"/>
          <w:lang w:eastAsia="fr-FR"/>
        </w:rPr>
      </w:pPr>
    </w:p>
    <w:p>
      <w:pPr>
        <w:tabs>
          <w:tab w:val="left" w:pos="1985"/>
        </w:tabs>
        <w:spacing w:after="0" w:line="240" w:lineRule="auto"/>
        <w:ind w:left="-70"/>
        <w:jc w:val="both"/>
        <w:rPr>
          <w:rFonts w:ascii="Calibri" w:eastAsia="Times New Roman" w:hAnsi="Calibri" w:cs="Calibri"/>
          <w:bCs/>
          <w:i/>
          <w:sz w:val="24"/>
          <w:highlight w:val="red"/>
          <w:lang w:eastAsia="fr-FR"/>
        </w:rPr>
      </w:pPr>
    </w:p>
    <w:tbl>
      <w:tblPr>
        <w:tblpPr w:leftFromText="141" w:rightFromText="141" w:vertAnchor="text" w:horzAnchor="margin" w:tblpY="-931"/>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shd w:val="clear" w:color="auto" w:fill="F4AA00"/>
        <w:tabs>
          <w:tab w:val="left" w:pos="1985"/>
        </w:tabs>
        <w:spacing w:after="0" w:line="240" w:lineRule="auto"/>
        <w:ind w:left="-70"/>
        <w:jc w:val="center"/>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la gestion du budget pour lequel délégation a été donnée, en vue de parvenir à un fonctionnement optimal de l’école et à la réalisation de ses objectifs.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équipements pédagogiques, techniques et informatiques nécessaires à son fonctionnement et en informer le pouvoir organisateur.</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 délégation a été donnée, y compris en matière de sécurité,  d'hygiène et de bien-être au travail.</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Responsabilités spécifiques à l’EESPSCF Saint-Mard :</w:t>
      </w:r>
    </w:p>
    <w:p>
      <w:pPr>
        <w:tabs>
          <w:tab w:val="left" w:pos="1985"/>
        </w:tabs>
        <w:spacing w:after="0" w:line="240" w:lineRule="auto"/>
        <w:ind w:left="-70"/>
        <w:jc w:val="both"/>
        <w:rPr>
          <w:rFonts w:eastAsia="Times New Roman" w:cs="Calibri"/>
          <w:lang w:eastAsia="fr-FR"/>
        </w:rPr>
      </w:pPr>
      <w:r>
        <w:rPr>
          <w:rFonts w:eastAsia="Times New Roman" w:cs="Calibri"/>
          <w:lang w:eastAsia="fr-FR"/>
        </w:rPr>
        <w:t>Veiller à une bonne collaboration sur la gestion des bâtiments partagés avec le home d’accueil permanent ; veiller à la cohérence des règlements d’ordre intérieur de ces deux structures.</w:t>
      </w:r>
    </w:p>
    <w:p>
      <w:pPr>
        <w:tabs>
          <w:tab w:val="left" w:pos="1985"/>
        </w:tabs>
        <w:spacing w:after="0" w:line="240" w:lineRule="auto"/>
        <w:ind w:left="-70"/>
        <w:jc w:val="both"/>
        <w:rPr>
          <w:rFonts w:eastAsia="Times New Roman" w:cs="Calibri"/>
          <w:lang w:eastAsia="fr-FR"/>
        </w:rPr>
      </w:pPr>
      <w:r>
        <w:rPr>
          <w:rFonts w:eastAsia="Times New Roman" w:cs="Calibri"/>
          <w:lang w:eastAsia="fr-FR"/>
        </w:rPr>
        <w:t>Veiller à être attentif aux dépenses liées à la gestion de la piscine.</w:t>
      </w:r>
    </w:p>
    <w:p>
      <w:pPr>
        <w:tabs>
          <w:tab w:val="left" w:pos="1985"/>
        </w:tabs>
        <w:spacing w:after="0" w:line="240" w:lineRule="auto"/>
        <w:ind w:left="-70"/>
        <w:jc w:val="both"/>
        <w:rPr>
          <w:rFonts w:eastAsia="Times New Roman" w:cs="Calibri"/>
          <w:lang w:eastAsia="fr-FR"/>
        </w:rPr>
      </w:pPr>
      <w:r>
        <w:rPr>
          <w:rFonts w:eastAsia="Times New Roman" w:cs="Calibri"/>
          <w:lang w:eastAsia="fr-FR"/>
        </w:rPr>
        <w:t>Veiller à être attentif aux termes de la convention liant l’établissement aux autorités françaises (transports, diners, etc.).</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planification et la gestion active de son propre développement professionnel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continument de nouvelles idées, compétences et connaissances.</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la lettre de mission et à l’auto-évaluation. </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ascii="Calibri" w:eastAsia="Times New Roman" w:hAnsi="Calibri" w:cs="Calibri"/>
          <w:lang w:eastAsia="fr-BE"/>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jc w:val="both"/>
        <w:rPr>
          <w:rFonts w:ascii="Calibri" w:eastAsia="Times New Roman" w:hAnsi="Calibri" w:cs="Calibri"/>
          <w:lang w:eastAsia="fr-FR"/>
        </w:rPr>
      </w:pPr>
    </w:p>
    <w:p>
      <w:pPr>
        <w:tabs>
          <w:tab w:val="left" w:pos="1985"/>
        </w:tabs>
        <w:spacing w:after="0" w:line="240" w:lineRule="auto"/>
        <w:jc w:val="both"/>
        <w:rPr>
          <w:rFonts w:ascii="Calibri" w:eastAsia="Times New Roman" w:hAnsi="Calibri" w:cs="Calibri"/>
          <w:lang w:eastAsia="fr-FR"/>
        </w:rPr>
      </w:pPr>
    </w:p>
    <w:p>
      <w:pPr>
        <w:tabs>
          <w:tab w:val="left" w:pos="1985"/>
        </w:tabs>
        <w:spacing w:after="0" w:line="240" w:lineRule="auto"/>
        <w:jc w:val="both"/>
        <w:rPr>
          <w:rFonts w:ascii="Calibri" w:eastAsia="Times New Roman" w:hAnsi="Calibri" w:cs="Calibri"/>
          <w:lang w:eastAsia="fr-FR"/>
        </w:rPr>
        <w:sectPr>
          <w:headerReference w:type="default" r:id="rId19"/>
          <w:footerReference w:type="default" r:id="rId20"/>
          <w:pgSz w:w="11906" w:h="16838"/>
          <w:pgMar w:top="1417" w:right="1417" w:bottom="1417" w:left="1417" w:header="708" w:footer="16" w:gutter="0"/>
          <w:cols w:space="720"/>
          <w:formProt w:val="0"/>
          <w:docGrid w:linePitch="360" w:charSpace="4096"/>
        </w:sectPr>
      </w:pPr>
    </w:p>
    <w:p>
      <w:pPr>
        <w:spacing w:after="0" w:line="240" w:lineRule="auto"/>
        <w:rPr>
          <w:rFonts w:ascii="Calibri" w:eastAsia="Times New Roman" w:hAnsi="Calibri" w:cs="Times New Roman"/>
          <w:lang w:eastAsia="fr-FR"/>
        </w:rPr>
      </w:pPr>
    </w:p>
    <w:tbl>
      <w:tblPr>
        <w:tblpPr w:leftFromText="141" w:rightFromText="141" w:vertAnchor="text" w:horzAnchor="margin" w:tblpXSpec="center" w:tblpY="-384"/>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auto"/>
            <w:vAlign w:val="center"/>
          </w:tcPr>
          <w:p>
            <w:pPr>
              <w:tabs>
                <w:tab w:val="left" w:pos="1985"/>
              </w:tabs>
              <w:spacing w:after="0" w:line="240" w:lineRule="auto"/>
              <w:ind w:left="181"/>
              <w:jc w:val="cente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pPr>
            <w:r>
              <w:rPr>
                <w:rFonts w:eastAsia="Times New Roman" w:cs="Times New Roman"/>
                <w:b/>
                <w:color w:val="FFFFFF"/>
                <w:sz w:val="20"/>
                <w:szCs w:val="20"/>
                <w:lang w:eastAsia="fr-FR"/>
              </w:rPr>
              <w:t>Profil de compétence</w:t>
            </w:r>
          </w:p>
        </w:tc>
      </w:tr>
    </w:tbl>
    <w:tbl>
      <w:tblPr>
        <w:tblpPr w:leftFromText="141" w:rightFromText="141" w:vertAnchor="text" w:horzAnchor="margin" w:tblpXSpec="center" w:tblpY="56"/>
        <w:tblW w:w="9776" w:type="dxa"/>
        <w:tblCellMar>
          <w:left w:w="70" w:type="dxa"/>
          <w:right w:w="70" w:type="dxa"/>
        </w:tblCellMar>
        <w:tblLook w:val="0000" w:firstRow="0" w:lastRow="0" w:firstColumn="0" w:lastColumn="0" w:noHBand="0" w:noVBand="0"/>
      </w:tblPr>
      <w:tblGrid>
        <w:gridCol w:w="8216"/>
        <w:gridCol w:w="468"/>
        <w:gridCol w:w="37"/>
        <w:gridCol w:w="37"/>
        <w:gridCol w:w="24"/>
        <w:gridCol w:w="14"/>
        <w:gridCol w:w="980"/>
      </w:tblGrid>
      <w:tr>
        <w:trPr>
          <w:trHeight w:val="586"/>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trPr>
          <w:trHeight w:val="531"/>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pPr>
            <w:bookmarkStart w:id="16" w:name="__UnoMark__746_2749759877"/>
            <w:bookmarkEnd w:id="16"/>
            <w:r>
              <w:rPr>
                <w:rFonts w:eastAsia="Times New Roman" w:cs="Times New Roman"/>
                <w:b/>
                <w:color w:val="000000"/>
                <w:lang w:eastAsia="fr-FR"/>
              </w:rPr>
              <w:t xml:space="preserve">Niveaux de maitrise </w:t>
            </w:r>
          </w:p>
          <w:p>
            <w:pPr>
              <w:numPr>
                <w:ilvl w:val="0"/>
                <w:numId w:val="1"/>
              </w:numPr>
              <w:tabs>
                <w:tab w:val="left" w:pos="1985"/>
              </w:tabs>
              <w:spacing w:after="0" w:line="240" w:lineRule="auto"/>
              <w:contextualSpacing/>
            </w:pPr>
            <w:r>
              <w:rPr>
                <w:rFonts w:eastAsia="Times New Roman" w:cs="Times New Roman"/>
                <w:b/>
                <w:color w:val="000000"/>
                <w:lang w:eastAsia="fr-FR"/>
              </w:rPr>
              <w:t>Aptitude à acquérir la compétence -&gt; avoir des notions théoriques</w:t>
            </w:r>
          </w:p>
          <w:p>
            <w:pPr>
              <w:numPr>
                <w:ilvl w:val="0"/>
                <w:numId w:val="1"/>
              </w:numPr>
              <w:tabs>
                <w:tab w:val="left" w:pos="1985"/>
              </w:tabs>
              <w:spacing w:after="0" w:line="240" w:lineRule="auto"/>
              <w:contextualSpacing/>
            </w:pPr>
            <w:r>
              <w:rPr>
                <w:rFonts w:eastAsia="Times New Roman" w:cs="Times New Roman"/>
                <w:b/>
                <w:color w:val="000000"/>
                <w:lang w:eastAsia="fr-FR"/>
              </w:rPr>
              <w:t>Élémentaire -&gt; agir de façon réactive</w:t>
            </w:r>
          </w:p>
          <w:p>
            <w:pPr>
              <w:numPr>
                <w:ilvl w:val="0"/>
                <w:numId w:val="1"/>
              </w:numPr>
              <w:tabs>
                <w:tab w:val="left" w:pos="1985"/>
              </w:tabs>
              <w:spacing w:after="0" w:line="240" w:lineRule="auto"/>
              <w:contextualSpacing/>
            </w:pPr>
            <w:r>
              <w:rPr>
                <w:rFonts w:eastAsia="Times New Roman" w:cs="Times New Roman"/>
                <w:b/>
                <w:color w:val="000000"/>
                <w:lang w:eastAsia="fr-FR"/>
              </w:rPr>
              <w:t>Intermédiaire -&gt; agir de façon autonome</w:t>
            </w:r>
          </w:p>
          <w:p>
            <w:pPr>
              <w:numPr>
                <w:ilvl w:val="0"/>
                <w:numId w:val="1"/>
              </w:numPr>
              <w:tabs>
                <w:tab w:val="left" w:pos="1985"/>
              </w:tabs>
              <w:spacing w:after="0" w:line="240" w:lineRule="auto"/>
              <w:contextualSpacing/>
            </w:pPr>
            <w:r>
              <w:rPr>
                <w:rFonts w:eastAsia="Times New Roman" w:cs="Times New Roman"/>
                <w:b/>
                <w:color w:val="000000"/>
                <w:lang w:eastAsia="fr-FR"/>
              </w:rPr>
              <w:t>Avancé -&gt; agir avec excellence</w:t>
            </w:r>
            <w:r>
              <w:rPr>
                <w:rFonts w:eastAsia="Times New Roman" w:cs="Times New Roman"/>
                <w:b/>
                <w:color w:val="000000"/>
                <w:lang w:eastAsia="fr-FR"/>
              </w:rPr>
              <w:br/>
            </w:r>
            <w:bookmarkStart w:id="17" w:name="__UnoMark__747_2749759877"/>
            <w:bookmarkEnd w:id="17"/>
          </w:p>
        </w:tc>
        <w:tc>
          <w:tcPr>
            <w:tcW w:w="15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8" w:name="__UnoMark__748_2749759877"/>
            <w:bookmarkEnd w:id="18"/>
            <w:r>
              <w:rPr>
                <w:rFonts w:eastAsia="Times New Roman" w:cs="Calibri"/>
                <w:lang w:eastAsia="fr-FR"/>
              </w:rPr>
              <w:t xml:space="preserve">Niveau  </w:t>
            </w:r>
          </w:p>
          <w:p>
            <w:pPr>
              <w:tabs>
                <w:tab w:val="left" w:pos="1985"/>
              </w:tabs>
              <w:spacing w:after="0" w:line="240" w:lineRule="auto"/>
              <w:jc w:val="center"/>
            </w:pPr>
            <w:r>
              <w:rPr>
                <w:rFonts w:eastAsia="Times New Roman" w:cs="Calibri"/>
                <w:lang w:eastAsia="fr-FR"/>
              </w:rPr>
              <w:t>attendu en:</w:t>
            </w:r>
            <w:bookmarkStart w:id="19" w:name="__UnoMark__749_2749759877"/>
            <w:bookmarkEnd w:id="19"/>
          </w:p>
        </w:tc>
      </w:tr>
      <w:tr>
        <w:trPr>
          <w:trHeight w:val="846"/>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rPr>
                <w:rFonts w:ascii="Calibri" w:eastAsia="Times New Roman" w:hAnsi="Calibri" w:cs="Times New Roman"/>
                <w:b/>
                <w:color w:val="000000"/>
                <w:lang w:eastAsia="fr-FR"/>
              </w:rPr>
            </w:pPr>
            <w:bookmarkStart w:id="20" w:name="__UnoMark__751_2749759877"/>
            <w:bookmarkStart w:id="21" w:name="__UnoMark__750_2749759877"/>
            <w:bookmarkEnd w:id="20"/>
            <w:bookmarkEnd w:id="21"/>
          </w:p>
        </w:tc>
        <w:tc>
          <w:tcPr>
            <w:tcW w:w="566"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2" w:name="__UnoMark__752_2749759877"/>
            <w:bookmarkEnd w:id="22"/>
            <w:r>
              <w:rPr>
                <w:rFonts w:eastAsia="Times New Roman" w:cs="Calibri"/>
                <w:lang w:eastAsia="fr-FR"/>
              </w:rPr>
              <w:t>Jury</w:t>
            </w:r>
            <w:bookmarkStart w:id="23" w:name="__UnoMark__753_2749759877"/>
            <w:bookmarkEnd w:id="23"/>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4" w:name="__UnoMark__754_2749759877"/>
            <w:bookmarkEnd w:id="24"/>
            <w:r>
              <w:rPr>
                <w:rFonts w:eastAsia="Times New Roman" w:cs="Calibri"/>
                <w:lang w:eastAsia="fr-FR"/>
              </w:rPr>
              <w:t>Fonction</w:t>
            </w:r>
            <w:bookmarkStart w:id="25" w:name="__UnoMark__755_2749759877"/>
            <w:bookmarkEnd w:id="25"/>
          </w:p>
        </w:tc>
      </w:tr>
      <w:tr>
        <w:trPr>
          <w:trHeight w:val="397"/>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26" w:name="__UnoMark__756_2749759877"/>
            <w:bookmarkEnd w:id="26"/>
            <w:r>
              <w:rPr>
                <w:rFonts w:eastAsia="Times New Roman" w:cs="Times New Roman"/>
                <w:b/>
                <w:lang w:eastAsia="fr-FR"/>
              </w:rPr>
              <w:t>Réglementation</w:t>
            </w:r>
            <w:bookmarkStart w:id="27" w:name="__UnoMark__757_2749759877"/>
            <w:bookmarkEnd w:id="27"/>
          </w:p>
        </w:tc>
      </w:tr>
      <w:tr>
        <w:trPr>
          <w:trHeight w:val="340"/>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28" w:name="__UnoMark__758_2749759877"/>
            <w:bookmarkEnd w:id="28"/>
            <w:r>
              <w:rPr>
                <w:rFonts w:eastAsia="Times New Roman" w:cs="Times New Roman"/>
                <w:lang w:eastAsia="fr-FR"/>
              </w:rPr>
              <w:t xml:space="preserve">Avoir la capacité de lire et comprendre un texte juridique. </w:t>
            </w:r>
            <w:bookmarkStart w:id="29" w:name="__UnoMark__759_2749759877"/>
            <w:bookmarkEnd w:id="29"/>
          </w:p>
        </w:tc>
        <w:tc>
          <w:tcPr>
            <w:tcW w:w="580"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0" w:name="__UnoMark__760_2749759877"/>
            <w:bookmarkEnd w:id="30"/>
            <w:r>
              <w:rPr>
                <w:rFonts w:eastAsia="Times New Roman" w:cs="Calibri"/>
                <w:lang w:eastAsia="fr-FR"/>
              </w:rPr>
              <w:t xml:space="preserve">B </w:t>
            </w:r>
            <w:bookmarkStart w:id="31" w:name="__UnoMark__761_2749759877"/>
            <w:bookmarkEnd w:id="31"/>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2" w:name="__UnoMark__762_2749759877"/>
            <w:bookmarkEnd w:id="32"/>
            <w:r>
              <w:rPr>
                <w:rFonts w:eastAsia="Times New Roman" w:cs="Calibri"/>
                <w:lang w:eastAsia="fr-FR"/>
              </w:rPr>
              <w:t>C</w:t>
            </w:r>
            <w:bookmarkStart w:id="33" w:name="__UnoMark__763_2749759877"/>
            <w:bookmarkEnd w:id="33"/>
          </w:p>
        </w:tc>
      </w:tr>
      <w:tr>
        <w:trPr>
          <w:trHeight w:val="397"/>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34" w:name="__UnoMark__764_2749759877"/>
            <w:bookmarkEnd w:id="34"/>
            <w:r>
              <w:rPr>
                <w:rFonts w:eastAsia="Times New Roman" w:cs="Calibri"/>
                <w:b/>
                <w:lang w:eastAsia="fr-FR"/>
              </w:rPr>
              <w:t>Pédagogique</w:t>
            </w:r>
            <w:bookmarkStart w:id="35" w:name="__UnoMark__765_2749759877"/>
            <w:bookmarkEnd w:id="35"/>
          </w:p>
        </w:tc>
      </w:tr>
      <w:tr>
        <w:trPr>
          <w:trHeight w:val="397"/>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36" w:name="__UnoMark__766_2749759877"/>
            <w:bookmarkEnd w:id="36"/>
            <w:r>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8" w:name="__UnoMark__768_2749759877"/>
            <w:bookmarkEnd w:id="38"/>
            <w:r>
              <w:rPr>
                <w:rFonts w:eastAsia="Times New Roman" w:cs="Calibri"/>
                <w:lang w:eastAsia="fr-FR"/>
              </w:rPr>
              <w:t xml:space="preserve">C </w:t>
            </w:r>
            <w:bookmarkStart w:id="39" w:name="__UnoMark__769_2749759877"/>
            <w:bookmarkEnd w:id="39"/>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0" w:name="__UnoMark__770_2749759877"/>
            <w:bookmarkEnd w:id="40"/>
            <w:r>
              <w:rPr>
                <w:rFonts w:eastAsia="Times New Roman" w:cs="Calibri"/>
                <w:lang w:eastAsia="fr-FR"/>
              </w:rPr>
              <w:t>D</w:t>
            </w:r>
            <w:bookmarkStart w:id="41" w:name="__UnoMark__771_2749759877"/>
            <w:bookmarkEnd w:id="41"/>
          </w:p>
        </w:tc>
      </w:tr>
      <w:tr>
        <w:trPr>
          <w:trHeight w:val="397"/>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42" w:name="__UnoMark__772_2749759877"/>
            <w:bookmarkEnd w:id="42"/>
            <w:r>
              <w:rPr>
                <w:rFonts w:eastAsia="Times New Roman" w:cs="Calibri"/>
                <w:b/>
                <w:lang w:eastAsia="fr-FR"/>
              </w:rPr>
              <w:t>Numérique</w:t>
            </w:r>
            <w:bookmarkStart w:id="43" w:name="__UnoMark__773_2749759877"/>
            <w:bookmarkEnd w:id="43"/>
          </w:p>
        </w:tc>
      </w:tr>
      <w:tr>
        <w:trPr>
          <w:trHeight w:val="787"/>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44" w:name="__UnoMark__774_2749759877"/>
            <w:bookmarkEnd w:id="44"/>
            <w:r>
              <w:rPr>
                <w:rFonts w:eastAsia="Times New Roman" w:cs="Calibri"/>
                <w:color w:val="000000"/>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6" w:name="__UnoMark__776_2749759877"/>
            <w:bookmarkEnd w:id="46"/>
            <w:r>
              <w:rPr>
                <w:rFonts w:eastAsia="Times New Roman" w:cs="Calibri"/>
                <w:lang w:eastAsia="fr-FR"/>
              </w:rPr>
              <w:t xml:space="preserve">B </w:t>
            </w:r>
            <w:bookmarkStart w:id="47" w:name="__UnoMark__777_2749759877"/>
            <w:bookmarkEnd w:id="47"/>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8" w:name="__UnoMark__778_2749759877"/>
            <w:bookmarkEnd w:id="48"/>
            <w:r>
              <w:rPr>
                <w:rFonts w:eastAsia="Times New Roman" w:cs="Calibri"/>
                <w:lang w:eastAsia="fr-FR"/>
              </w:rPr>
              <w:t>C</w:t>
            </w:r>
            <w:bookmarkStart w:id="49" w:name="__UnoMark__779_2749759877"/>
            <w:bookmarkEnd w:id="49"/>
          </w:p>
        </w:tc>
      </w:tr>
      <w:tr>
        <w:trPr>
          <w:trHeight w:val="397"/>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50" w:name="__UnoMark__780_2749759877"/>
            <w:bookmarkEnd w:id="50"/>
            <w:r>
              <w:rPr>
                <w:rFonts w:eastAsia="Times New Roman" w:cs="Calibri"/>
                <w:b/>
                <w:lang w:eastAsia="fr-FR"/>
              </w:rPr>
              <w:t xml:space="preserve">Méthodologie </w:t>
            </w:r>
            <w:bookmarkStart w:id="51" w:name="__UnoMark__781_2749759877"/>
            <w:bookmarkEnd w:id="51"/>
          </w:p>
        </w:tc>
      </w:tr>
      <w:tr>
        <w:trPr>
          <w:trHeight w:val="340"/>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2" w:name="__UnoMark__782_2749759877"/>
            <w:bookmarkEnd w:id="52"/>
            <w:r>
              <w:rPr>
                <w:rFonts w:eastAsia="Times New Roman" w:cs="Calibri"/>
                <w:color w:val="000000"/>
                <w:lang w:eastAsia="fr-FR"/>
              </w:rPr>
              <w:t>Être capable de gérer des réunions.</w:t>
            </w:r>
            <w:bookmarkStart w:id="53" w:name="__UnoMark__783_2749759877"/>
            <w:bookmarkEnd w:id="53"/>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4" w:name="__UnoMark__784_2749759877"/>
            <w:bookmarkEnd w:id="54"/>
            <w:r>
              <w:rPr>
                <w:rFonts w:eastAsia="Times New Roman" w:cs="Calibri"/>
                <w:lang w:eastAsia="fr-FR"/>
              </w:rPr>
              <w:t xml:space="preserve">C </w:t>
            </w:r>
            <w:bookmarkStart w:id="55" w:name="__UnoMark__785_2749759877"/>
            <w:bookmarkEnd w:id="55"/>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6" w:name="__UnoMark__786_2749759877"/>
            <w:bookmarkEnd w:id="56"/>
            <w:r>
              <w:rPr>
                <w:rFonts w:eastAsia="Times New Roman" w:cs="Calibri"/>
                <w:lang w:eastAsia="fr-FR"/>
              </w:rPr>
              <w:t>D</w:t>
            </w:r>
            <w:bookmarkStart w:id="57" w:name="__UnoMark__787_2749759877"/>
            <w:bookmarkEnd w:id="57"/>
          </w:p>
        </w:tc>
      </w:tr>
      <w:tr>
        <w:trPr>
          <w:trHeight w:val="340"/>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8" w:name="__UnoMark__788_2749759877"/>
            <w:bookmarkEnd w:id="58"/>
            <w:r>
              <w:rPr>
                <w:rFonts w:eastAsia="Times New Roman" w:cs="Calibri"/>
                <w:color w:val="000000"/>
                <w:lang w:eastAsia="fr-FR"/>
              </w:rPr>
              <w:t>Être capable de gérer des conflits.</w:t>
            </w:r>
            <w:bookmarkStart w:id="59" w:name="__UnoMark__789_2749759877"/>
            <w:bookmarkEnd w:id="59"/>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0" w:name="__UnoMark__790_2749759877"/>
            <w:bookmarkEnd w:id="60"/>
            <w:r>
              <w:rPr>
                <w:rFonts w:eastAsia="Times New Roman" w:cs="Calibri"/>
                <w:lang w:eastAsia="fr-FR"/>
              </w:rPr>
              <w:t xml:space="preserve">C </w:t>
            </w:r>
            <w:bookmarkStart w:id="61" w:name="__UnoMark__791_2749759877"/>
            <w:bookmarkEnd w:id="61"/>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2" w:name="__UnoMark__792_2749759877"/>
            <w:bookmarkEnd w:id="62"/>
            <w:r>
              <w:rPr>
                <w:rFonts w:eastAsia="Times New Roman" w:cs="Calibri"/>
                <w:lang w:eastAsia="fr-FR"/>
              </w:rPr>
              <w:t>D</w:t>
            </w:r>
            <w:bookmarkStart w:id="63" w:name="__UnoMark__793_2749759877"/>
            <w:bookmarkEnd w:id="63"/>
          </w:p>
        </w:tc>
      </w:tr>
      <w:tr>
        <w:trPr>
          <w:trHeight w:val="397"/>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64" w:name="__UnoMark__794_2749759877"/>
            <w:bookmarkEnd w:id="64"/>
            <w:r>
              <w:rPr>
                <w:rFonts w:eastAsia="Times New Roman" w:cs="Calibri"/>
                <w:b/>
                <w:lang w:eastAsia="fr-FR"/>
              </w:rPr>
              <w:t>Métier</w:t>
            </w:r>
            <w:bookmarkStart w:id="65" w:name="__UnoMark__795_2749759877"/>
            <w:bookmarkEnd w:id="65"/>
          </w:p>
        </w:tc>
      </w:tr>
      <w:tr>
        <w:trPr>
          <w:trHeight w:val="340"/>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66" w:name="__UnoMark__796_2749759877"/>
            <w:bookmarkStart w:id="67" w:name="__UnoMark__802_2749759877"/>
            <w:bookmarkEnd w:id="66"/>
            <w:bookmarkEnd w:id="67"/>
            <w:r>
              <w:rPr>
                <w:rFonts w:eastAsia="Times New Roman" w:cs="Calibri"/>
                <w:color w:val="000000"/>
                <w:lang w:eastAsia="fr-FR"/>
              </w:rPr>
              <w:t>Avoir des compétences en gestion administrative, financière et matérielle de l’établissement.</w:t>
            </w:r>
            <w:bookmarkStart w:id="68" w:name="__UnoMark__803_2749759877"/>
            <w:bookmarkEnd w:id="68"/>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9" w:name="__UnoMark__804_2749759877"/>
            <w:bookmarkEnd w:id="69"/>
            <w:r>
              <w:rPr>
                <w:rFonts w:eastAsia="Times New Roman" w:cs="Calibri"/>
                <w:lang w:eastAsia="fr-FR"/>
              </w:rPr>
              <w:t>B</w:t>
            </w:r>
            <w:bookmarkStart w:id="70" w:name="__UnoMark__805_2749759877"/>
            <w:bookmarkEnd w:id="70"/>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1" w:name="__UnoMark__806_2749759877"/>
            <w:bookmarkEnd w:id="71"/>
            <w:r>
              <w:rPr>
                <w:rFonts w:eastAsia="Times New Roman" w:cs="Calibri"/>
                <w:lang w:eastAsia="fr-FR"/>
              </w:rPr>
              <w:t>C</w:t>
            </w:r>
            <w:bookmarkStart w:id="72" w:name="__UnoMark__807_2749759877"/>
            <w:bookmarkEnd w:id="72"/>
          </w:p>
        </w:tc>
      </w:tr>
      <w:tr>
        <w:trPr>
          <w:trHeight w:val="340"/>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3" w:name="__UnoMark__808_2749759877"/>
            <w:bookmarkEnd w:id="73"/>
            <w:r>
              <w:rPr>
                <w:rFonts w:eastAsia="Times New Roman" w:cs="Calibri"/>
                <w:color w:val="000000"/>
                <w:lang w:eastAsia="fr-FR"/>
              </w:rPr>
              <w:t>Avoir des compétences de gestion de l’infrastructure de l'école.</w:t>
            </w:r>
            <w:bookmarkStart w:id="74" w:name="__UnoMark__809_2749759877"/>
            <w:bookmarkEnd w:id="74"/>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5" w:name="__UnoMark__810_2749759877"/>
            <w:bookmarkEnd w:id="75"/>
            <w:r>
              <w:rPr>
                <w:rFonts w:eastAsia="Times New Roman" w:cs="Calibri"/>
                <w:lang w:eastAsia="fr-FR"/>
              </w:rPr>
              <w:t xml:space="preserve">B </w:t>
            </w:r>
            <w:bookmarkStart w:id="76" w:name="__UnoMark__811_2749759877"/>
            <w:bookmarkEnd w:id="76"/>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7" w:name="__UnoMark__812_2749759877"/>
            <w:bookmarkEnd w:id="77"/>
            <w:r>
              <w:rPr>
                <w:rFonts w:eastAsia="Times New Roman" w:cs="Calibri"/>
                <w:lang w:eastAsia="fr-FR"/>
              </w:rPr>
              <w:t>C</w:t>
            </w:r>
            <w:bookmarkStart w:id="78" w:name="__UnoMark__813_2749759877"/>
            <w:bookmarkEnd w:id="78"/>
          </w:p>
        </w:tc>
      </w:tr>
      <w:tr>
        <w:trPr>
          <w:trHeight w:val="340"/>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9" w:name="__UnoMark__814_2749759877"/>
            <w:bookmarkEnd w:id="79"/>
            <w:r>
              <w:rPr>
                <w:rFonts w:eastAsia="Times New Roman" w:cs="Calibri"/>
                <w:color w:val="000000"/>
                <w:lang w:eastAsia="fr-FR"/>
              </w:rPr>
              <w:t xml:space="preserve">Avoir des compétences de gestion des ressources financières. </w:t>
            </w:r>
            <w:bookmarkStart w:id="80" w:name="__UnoMark__815_2749759877"/>
            <w:bookmarkEnd w:id="80"/>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1" w:name="__UnoMark__816_2749759877"/>
            <w:bookmarkEnd w:id="81"/>
            <w:r>
              <w:rPr>
                <w:rFonts w:eastAsia="Times New Roman" w:cs="Calibri"/>
                <w:lang w:eastAsia="fr-FR"/>
              </w:rPr>
              <w:t xml:space="preserve">B </w:t>
            </w:r>
            <w:bookmarkStart w:id="82" w:name="__UnoMark__817_2749759877"/>
            <w:bookmarkEnd w:id="82"/>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3" w:name="__UnoMark__818_2749759877"/>
            <w:bookmarkEnd w:id="83"/>
            <w:r>
              <w:rPr>
                <w:rFonts w:eastAsia="Times New Roman" w:cs="Calibri"/>
                <w:lang w:eastAsia="fr-FR"/>
              </w:rPr>
              <w:t>C</w:t>
            </w:r>
            <w:bookmarkStart w:id="84" w:name="__UnoMark__819_2749759877"/>
            <w:bookmarkEnd w:id="84"/>
          </w:p>
        </w:tc>
      </w:tr>
      <w:tr>
        <w:trPr>
          <w:trHeight w:val="340"/>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85" w:name="__UnoMark__820_2749759877"/>
            <w:bookmarkEnd w:id="85"/>
            <w:r>
              <w:rPr>
                <w:rFonts w:eastAsia="Times New Roman" w:cs="Calibri"/>
                <w:color w:val="000000"/>
                <w:lang w:eastAsia="fr-FR"/>
              </w:rPr>
              <w:t xml:space="preserve">Avoir des compétences en gestion des ressources humaines. </w:t>
            </w:r>
            <w:bookmarkStart w:id="86" w:name="__UnoMark__821_2749759877"/>
            <w:bookmarkEnd w:id="86"/>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7" w:name="__UnoMark__822_2749759877"/>
            <w:bookmarkEnd w:id="87"/>
            <w:r>
              <w:rPr>
                <w:rFonts w:eastAsia="Times New Roman" w:cs="Calibri"/>
                <w:lang w:eastAsia="fr-FR"/>
              </w:rPr>
              <w:t>B</w:t>
            </w:r>
            <w:bookmarkStart w:id="88" w:name="__UnoMark__823_2749759877"/>
            <w:bookmarkEnd w:id="88"/>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9" w:name="__UnoMark__824_2749759877"/>
            <w:bookmarkEnd w:id="89"/>
            <w:r>
              <w:rPr>
                <w:rFonts w:eastAsia="Times New Roman" w:cs="Calibri"/>
                <w:lang w:eastAsia="fr-FR"/>
              </w:rPr>
              <w:t>C</w:t>
            </w:r>
            <w:bookmarkStart w:id="90" w:name="__UnoMark__825_2749759877"/>
            <w:bookmarkEnd w:id="90"/>
          </w:p>
        </w:tc>
      </w:tr>
      <w:tr>
        <w:trPr>
          <w:trHeight w:val="397"/>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91" w:name="__UnoMark__826_2749759877"/>
            <w:bookmarkEnd w:id="91"/>
            <w:r>
              <w:rPr>
                <w:rFonts w:eastAsia="Times New Roman" w:cs="Calibri"/>
                <w:b/>
                <w:lang w:eastAsia="fr-FR"/>
              </w:rPr>
              <w:t>Communication</w:t>
            </w:r>
            <w:bookmarkStart w:id="92" w:name="__UnoMark__827_2749759877"/>
            <w:bookmarkEnd w:id="92"/>
          </w:p>
        </w:tc>
      </w:tr>
      <w:tr>
        <w:trPr>
          <w:trHeight w:val="397"/>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3" w:name="__UnoMark__828_2749759877"/>
            <w:bookmarkEnd w:id="93"/>
            <w:r>
              <w:rPr>
                <w:rFonts w:eastAsia="Times New Roman" w:cs="Calibri"/>
                <w:lang w:eastAsia="fr-FR"/>
              </w:rPr>
              <w:t xml:space="preserve">Maitriser les techniques de la communication écrite. </w:t>
            </w:r>
            <w:bookmarkStart w:id="94" w:name="__UnoMark__829_2749759877"/>
            <w:bookmarkEnd w:id="94"/>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5" w:name="__UnoMark__830_2749759877"/>
            <w:bookmarkEnd w:id="95"/>
            <w:r>
              <w:rPr>
                <w:rFonts w:eastAsia="Times New Roman" w:cs="Calibri"/>
                <w:lang w:eastAsia="fr-FR"/>
              </w:rPr>
              <w:t>C</w:t>
            </w:r>
            <w:bookmarkStart w:id="96" w:name="__UnoMark__831_2749759877"/>
            <w:bookmarkEnd w:id="96"/>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7" w:name="__UnoMark__832_2749759877"/>
            <w:bookmarkEnd w:id="97"/>
            <w:r>
              <w:rPr>
                <w:rFonts w:eastAsia="Times New Roman" w:cs="Calibri"/>
                <w:lang w:eastAsia="fr-FR"/>
              </w:rPr>
              <w:t>D</w:t>
            </w:r>
            <w:bookmarkStart w:id="98" w:name="__UnoMark__833_2749759877"/>
            <w:bookmarkEnd w:id="98"/>
          </w:p>
        </w:tc>
      </w:tr>
      <w:tr>
        <w:trPr>
          <w:trHeight w:val="397"/>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9" w:name="__UnoMark__834_2749759877"/>
            <w:bookmarkEnd w:id="99"/>
            <w:r>
              <w:rPr>
                <w:rFonts w:eastAsia="Times New Roman" w:cs="Calibri"/>
                <w:lang w:eastAsia="fr-FR"/>
              </w:rPr>
              <w:t xml:space="preserve">Maitriser les techniques de la communication orale. </w:t>
            </w:r>
            <w:bookmarkStart w:id="100" w:name="__UnoMark__835_2749759877"/>
            <w:bookmarkEnd w:id="100"/>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1" w:name="__UnoMark__836_2749759877"/>
            <w:bookmarkEnd w:id="101"/>
            <w:r>
              <w:rPr>
                <w:rFonts w:eastAsia="Times New Roman" w:cs="Calibri"/>
                <w:lang w:eastAsia="fr-FR"/>
              </w:rPr>
              <w:t xml:space="preserve">C  </w:t>
            </w:r>
            <w:bookmarkStart w:id="102" w:name="__UnoMark__837_2749759877"/>
            <w:bookmarkEnd w:id="102"/>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3" w:name="__UnoMark__838_2749759877"/>
            <w:bookmarkEnd w:id="103"/>
            <w:r>
              <w:rPr>
                <w:rFonts w:eastAsia="Times New Roman" w:cs="Calibri"/>
                <w:lang w:eastAsia="fr-FR"/>
              </w:rPr>
              <w:t>D</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sectPr>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613"/>
        <w:gridCol w:w="38"/>
        <w:gridCol w:w="37"/>
        <w:gridCol w:w="17"/>
        <w:gridCol w:w="970"/>
        <w:gridCol w:w="160"/>
      </w:tblGrid>
      <w:tr>
        <w:trPr>
          <w:cantSplit/>
          <w:trHeight w:val="564"/>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tc>
      </w:tr>
      <w:tr>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pPr>
              <w:numPr>
                <w:ilvl w:val="0"/>
                <w:numId w:val="3"/>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 xml:space="preserve">Niveau attendu en : </w:t>
            </w:r>
          </w:p>
        </w:tc>
      </w:tr>
      <w:tr>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p>
        </w:tc>
        <w:tc>
          <w:tcPr>
            <w:tcW w:w="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Jury</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Fonction</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d'accompagner le changement.</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Établir des liens entre les diverses données, concevoir des alternatives et tirer des conclusions adéquates.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Souder des équipes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Conseiller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cs="Calibri"/>
                <w:lang w:val="fr-FR"/>
              </w:rPr>
              <w:t>Fournir des conseils à ses interlocuteurs et développer avec eux une relation de confiance basée sur ses expertises.</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Faire preuve de fiabilité</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cohérent dans ses principes, ses valeurs et son comportement, avoir le sens de l’intérêt général et respecter la dignité de la fonction.</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40"/>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rPr>
                <w:rFonts w:ascii="Calibri" w:hAnsi="Calibri" w:cs="Calibri"/>
                <w:color w:val="ED7D31"/>
              </w:rPr>
            </w:pPr>
            <w:r>
              <w:rPr>
                <w:rFonts w:ascii="Calibri" w:hAnsi="Calibri" w:cs="Calibri"/>
              </w:rPr>
              <w:t>Définir les objectifs de manière pro active, étayer des plans d'actions de manière minutieuse en y impliquant des bonnes ressources dans les délais disponibles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pPr>
        <w:shd w:val="clear" w:color="auto" w:fill="001D77"/>
        <w:spacing w:after="160" w:line="259" w:lineRule="auto"/>
        <w:jc w:val="center"/>
        <w:rPr>
          <w:rFonts w:cstheme="minorHAnsi"/>
          <w:sz w:val="28"/>
        </w:rPr>
      </w:pPr>
      <w:r>
        <w:rPr>
          <w:rFonts w:cstheme="minorHAnsi"/>
          <w:i/>
          <w:sz w:val="28"/>
        </w:rPr>
        <w:t>Compétences investiguées lors du Jury</w:t>
      </w:r>
    </w:p>
    <w:p>
      <w:pPr>
        <w:spacing w:after="160" w:line="259" w:lineRule="auto"/>
        <w:rPr>
          <w:rFonts w:cstheme="minorHAnsi"/>
        </w:rPr>
      </w:pPr>
      <w:r>
        <w:rPr>
          <w:rFonts w:cstheme="minorHAnsi"/>
        </w:rPr>
        <w:t xml:space="preserve">Voici un récapitulatif des compétences qui seront investiguées à l’entretien: </w:t>
      </w:r>
    </w:p>
    <w:tbl>
      <w:tblPr>
        <w:tblpPr w:leftFromText="141" w:rightFromText="141" w:vertAnchor="page" w:horzAnchor="margin" w:tblpY="3097"/>
        <w:tblW w:w="9067" w:type="dxa"/>
        <w:tblCellMar>
          <w:left w:w="70" w:type="dxa"/>
          <w:right w:w="70" w:type="dxa"/>
        </w:tblCellMar>
        <w:tblLook w:val="0000" w:firstRow="0" w:lastRow="0" w:firstColumn="0" w:lastColumn="0" w:noHBand="0" w:noVBand="0"/>
      </w:tblPr>
      <w:tblGrid>
        <w:gridCol w:w="7650"/>
        <w:gridCol w:w="1417"/>
      </w:tblGrid>
      <w:tr>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65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5</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50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pPr>
        <w:jc w:val="both"/>
        <w:rPr>
          <w:rFonts w:ascii="Verdana" w:hAnsi="Verdana"/>
        </w:rPr>
      </w:pPr>
      <w:r>
        <w:rPr>
          <w:rFonts w:cs="Arial"/>
          <w:b/>
          <w:szCs w:val="20"/>
        </w:rPr>
        <w:t>Il faut minimum 60% des points pour figurer dans le classement des lauréats potentiels (minimum de 60/100) soit : 81/135.</w:t>
      </w:r>
    </w:p>
    <w:p>
      <w:pPr>
        <w:tabs>
          <w:tab w:val="left" w:pos="3705"/>
        </w:tabs>
        <w:jc w:val="both"/>
        <w:rPr>
          <w:rFonts w:cs="Times New Roman"/>
        </w:rPr>
      </w:pPr>
      <w:r>
        <w:t xml:space="preserve">Le classement des lauréats sera établi sur base des résultats obtenus lors du jury. A égalité de points, la priorité sera donnée à la personne ayant obtenu le plus grand nombre de points à la partie « Souder les équipes </w:t>
      </w:r>
      <w:r>
        <w:rPr>
          <w:rFonts w:eastAsia="Times New Roman"/>
          <w:lang w:eastAsia="fr-FR"/>
        </w:rPr>
        <w:t>».</w:t>
      </w:r>
      <w:r>
        <w:t>  Si pour cette partie, des personnes ont des points égaux, leur classement sera établi de manière aléatoire.</w:t>
      </w:r>
    </w:p>
    <w:p>
      <w:pPr>
        <w:tabs>
          <w:tab w:val="left" w:pos="2589"/>
        </w:tabs>
      </w:pPr>
    </w:p>
    <w:sectPr>
      <w:headerReference w:type="default" r:id="rId21"/>
      <w:footerReference w:type="default" r:id="rId22"/>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2316910"/>
      <w:docPartObj>
        <w:docPartGallery w:val="Page Numbers (Bottom of Page)"/>
        <w:docPartUnique/>
      </w:docPartObj>
    </w:sdtPr>
    <w:sdtContent>
      <w:sdt>
        <w:sdtPr>
          <w:id w:val="-1907524321"/>
          <w:docPartObj>
            <w:docPartGallery w:val="Page Numbers (Top of Page)"/>
            <w:docPartUnique/>
          </w:docPartObj>
        </w:sdtPr>
        <w:sdtContent>
          <w:p>
            <w:pPr>
              <w:pStyle w:val="Pieddepage"/>
              <w:jc w:val="right"/>
            </w:pPr>
            <w:r>
              <w:rPr>
                <w:noProof/>
                <w:lang w:eastAsia="fr-BE"/>
              </w:rPr>
              <w:drawing>
                <wp:anchor distT="0" distB="0" distL="0" distR="0" simplePos="0" relativeHeight="251661312" behindDoc="1" locked="0" layoutInCell="1" allowOverlap="1">
                  <wp:simplePos x="0" y="0"/>
                  <wp:positionH relativeFrom="margin">
                    <wp:align>center</wp:align>
                  </wp:positionH>
                  <wp:positionV relativeFrom="paragraph">
                    <wp:posOffset>-450215</wp:posOffset>
                  </wp:positionV>
                  <wp:extent cx="593725" cy="672465"/>
                  <wp:effectExtent l="0" t="0" r="0" b="0"/>
                  <wp:wrapNone/>
                  <wp:docPr id="10"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7</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15</w:t>
            </w:r>
            <w:r>
              <w:rPr>
                <w:bCs/>
                <w:sz w:val="18"/>
                <w:szCs w:val="18"/>
              </w:rPr>
              <w:fldChar w:fldCharType="end"/>
            </w:r>
          </w:p>
        </w:sdtContent>
      </w:sdt>
    </w:sdtContent>
  </w:sdt>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4184513"/>
      <w:docPartObj>
        <w:docPartGallery w:val="Page Numbers (Bottom of Page)"/>
        <w:docPartUnique/>
      </w:docPartObj>
    </w:sdtPr>
    <w:sdtContent>
      <w:sdt>
        <w:sdtPr>
          <w:rPr>
            <w:sz w:val="18"/>
            <w:szCs w:val="18"/>
          </w:rPr>
          <w:id w:val="-1005985393"/>
          <w:docPartObj>
            <w:docPartGallery w:val="Page Numbers (Top of Page)"/>
            <w:docPartUnique/>
          </w:docPartObj>
        </w:sdtPr>
        <w:sdtEndPr>
          <w:rPr>
            <w:sz w:val="22"/>
            <w:szCs w:val="22"/>
          </w:rPr>
        </w:sdtEndPr>
        <w:sdtContent>
          <w:p>
            <w:pPr>
              <w:pStyle w:val="Pieddepage"/>
              <w:jc w:val="right"/>
            </w:pPr>
            <w:r>
              <w:rPr>
                <w:noProof/>
                <w:lang w:eastAsia="fr-BE"/>
              </w:rPr>
              <w:drawing>
                <wp:anchor distT="0" distB="0" distL="0" distR="0" simplePos="0" relativeHeight="251663360" behindDoc="1" locked="0" layoutInCell="1" allowOverlap="1">
                  <wp:simplePos x="0" y="0"/>
                  <wp:positionH relativeFrom="margin">
                    <wp:align>center</wp:align>
                  </wp:positionH>
                  <wp:positionV relativeFrom="paragraph">
                    <wp:posOffset>-450215</wp:posOffset>
                  </wp:positionV>
                  <wp:extent cx="593725" cy="672465"/>
                  <wp:effectExtent l="0" t="0" r="0" b="0"/>
                  <wp:wrapNone/>
                  <wp:docPr id="11"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p>
        </w:sdtContent>
      </w:sdt>
    </w:sdtContent>
  </w:sdt>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0212281"/>
      <w:docPartObj>
        <w:docPartGallery w:val="Page Numbers (Bottom of Page)"/>
        <w:docPartUnique/>
      </w:docPartObj>
    </w:sdtPr>
    <w:sdtContent>
      <w:sdt>
        <w:sdtPr>
          <w:id w:val="-1769616900"/>
          <w:docPartObj>
            <w:docPartGallery w:val="Page Numbers (Top of Page)"/>
            <w:docPartUnique/>
          </w:docPartObj>
        </w:sdtPr>
        <w:sdtContent>
          <w:p>
            <w:pPr>
              <w:pStyle w:val="Pieddepage"/>
              <w:jc w:val="right"/>
            </w:pPr>
            <w:r>
              <w:rPr>
                <w:noProof/>
                <w:lang w:eastAsia="fr-BE"/>
              </w:rPr>
              <w:drawing>
                <wp:anchor distT="0" distB="0" distL="0" distR="0" simplePos="0" relativeHeight="251659264" behindDoc="1" locked="0" layoutInCell="1" allowOverlap="1">
                  <wp:simplePos x="0" y="0"/>
                  <wp:positionH relativeFrom="margin">
                    <wp:align>center</wp:align>
                  </wp:positionH>
                  <wp:positionV relativeFrom="paragraph">
                    <wp:posOffset>-587375</wp:posOffset>
                  </wp:positionV>
                  <wp:extent cx="593725" cy="672465"/>
                  <wp:effectExtent l="0" t="0" r="0" b="0"/>
                  <wp:wrapNone/>
                  <wp:docPr id="9"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14</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15</w:t>
            </w:r>
            <w:r>
              <w:rPr>
                <w:bCs/>
                <w:sz w:val="18"/>
                <w:szCs w:val="18"/>
              </w:rPr>
              <w:fldChar w:fldCharType="end"/>
            </w:r>
          </w:p>
        </w:sdtContent>
      </w:sdt>
    </w:sdtContent>
  </w:sdt>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3" behindDoc="1" locked="0" layoutInCell="1" allowOverlap="1">
          <wp:simplePos x="0" y="0"/>
          <wp:positionH relativeFrom="margin">
            <wp:align>center</wp:align>
          </wp:positionH>
          <wp:positionV relativeFrom="paragraph">
            <wp:posOffset>-111760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Pr>
        <w:b/>
        <w:noProof/>
        <w:sz w:val="18"/>
      </w:rPr>
      <w:t>16</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Pr>
        <w:b/>
        <w:noProof/>
        <w:sz w:val="18"/>
      </w:rPr>
      <w:t>16</w:t>
    </w:r>
    <w:r>
      <w:rPr>
        <w:b/>
        <w:sz w:val="18"/>
      </w:rPr>
      <w:fldChar w:fldCharType="end"/>
    </w: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r>
      <w:rPr>
        <w:noProof/>
        <w:lang w:eastAsia="fr-BE"/>
      </w:rPr>
      <w:drawing>
        <wp:anchor distT="0" distB="0" distL="0" distR="0" simplePos="0" relativeHeight="9" behindDoc="1" locked="0" layoutInCell="1" allowOverlap="1">
          <wp:simplePos x="0" y="0"/>
          <wp:positionH relativeFrom="margin">
            <wp:align>center</wp:align>
          </wp:positionH>
          <wp:positionV relativeFrom="paragraph">
            <wp:posOffset>-95250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1"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Pr>
      <w:vertAlign w:val="superscript"/>
    </w:rPr>
  </w:style>
  <w:style w:type="character" w:styleId="Marquedecommentaire">
    <w:name w:val="annotation reference"/>
    <w:basedOn w:val="Policepardfaut"/>
    <w:uiPriority w:val="99"/>
    <w:semiHidden/>
    <w:unhideWhenUsed/>
    <w:qFormat/>
    <w:rPr>
      <w:sz w:val="16"/>
      <w:szCs w:val="16"/>
    </w:rPr>
  </w:style>
  <w:style w:type="character" w:customStyle="1" w:styleId="En-tteCar">
    <w:name w:val="En-tête Car"/>
    <w:basedOn w:val="Policepardfaut"/>
    <w:uiPriority w:val="99"/>
    <w:qFormat/>
  </w:style>
  <w:style w:type="character" w:customStyle="1" w:styleId="PieddepageCar">
    <w:name w:val="Pied de page Car"/>
    <w:basedOn w:val="Policepardfaut"/>
    <w:link w:val="Pieddepage"/>
    <w:uiPriority w:val="99"/>
    <w:qFormat/>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Pr>
      <w:color w:val="0563C1" w:themeColor="hyperlink"/>
      <w:u w:val="single"/>
    </w:rPr>
  </w:style>
  <w:style w:type="character" w:styleId="lev">
    <w:name w:val="Strong"/>
    <w:basedOn w:val="Policepardfaut"/>
    <w:uiPriority w:val="22"/>
    <w:qFormat/>
    <w:rPr>
      <w:b/>
      <w:bCs/>
    </w:rPr>
  </w:style>
  <w:style w:type="character" w:customStyle="1" w:styleId="TitreCar">
    <w:name w:val="Titre Car"/>
    <w:basedOn w:val="Policepardfaut"/>
    <w:link w:val="Titre"/>
    <w:uiPriority w:val="10"/>
    <w:qFormat/>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pPr>
      <w:tabs>
        <w:tab w:val="center" w:pos="4536"/>
        <w:tab w:val="right" w:pos="9072"/>
      </w:tabs>
      <w:spacing w:after="0" w:line="240" w:lineRule="auto"/>
    </w:pPr>
  </w:style>
  <w:style w:type="paragraph" w:styleId="Pieddepage">
    <w:name w:val="footer"/>
    <w:basedOn w:val="Normal"/>
    <w:link w:val="PieddepageCar"/>
    <w:uiPriority w:val="99"/>
    <w:unhideWhenUsed/>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aragraphedeliste">
    <w:name w:val="List Paragraph"/>
    <w:basedOn w:val="Normal"/>
    <w:uiPriority w:val="34"/>
    <w:qFormat/>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600604">
      <w:bodyDiv w:val="1"/>
      <w:marLeft w:val="0"/>
      <w:marRight w:val="0"/>
      <w:marTop w:val="0"/>
      <w:marBottom w:val="0"/>
      <w:divBdr>
        <w:top w:val="none" w:sz="0" w:space="0" w:color="auto"/>
        <w:left w:val="none" w:sz="0" w:space="0" w:color="auto"/>
        <w:bottom w:val="none" w:sz="0" w:space="0" w:color="auto"/>
        <w:right w:val="none" w:sz="0" w:space="0" w:color="auto"/>
      </w:divBdr>
    </w:div>
    <w:div w:id="337663433">
      <w:bodyDiv w:val="1"/>
      <w:marLeft w:val="0"/>
      <w:marRight w:val="0"/>
      <w:marTop w:val="0"/>
      <w:marBottom w:val="0"/>
      <w:divBdr>
        <w:top w:val="none" w:sz="0" w:space="0" w:color="auto"/>
        <w:left w:val="none" w:sz="0" w:space="0" w:color="auto"/>
        <w:bottom w:val="none" w:sz="0" w:space="0" w:color="auto"/>
        <w:right w:val="none" w:sz="0" w:space="0" w:color="auto"/>
      </w:divBdr>
    </w:div>
    <w:div w:id="17012738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w-b-e.be/jobs-carriere/evolution-de-carriere/emplois-vacants/" TargetMode="Externa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yperlink" Target="mailto:selection.promotion@w-b-e.be"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lection.promotion@w-b-e.b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file:///C:\Users\lijnen01\AppData\Local\Microsoft\Windows\INetCache\Content.Outlook\R703J5QF\www.eespscfsaintmard.be"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header" Target="header1.xm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E47526-B429-4E60-96BE-C8C640335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4291</Words>
  <Characters>23604</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27840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Ecole Secondaire</dc:creator>
  <dc:description/>
  <cp:lastModifiedBy>ETNIC</cp:lastModifiedBy>
  <cp:revision>2</cp:revision>
  <cp:lastPrinted>2020-11-12T13:20:00Z</cp:lastPrinted>
  <dcterms:created xsi:type="dcterms:W3CDTF">2020-11-13T10:10:00Z</dcterms:created>
  <dcterms:modified xsi:type="dcterms:W3CDTF">2020-11-13T10:10:00Z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